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B6A36" w14:textId="77777777" w:rsidR="00F7054C" w:rsidRDefault="00F7054C" w:rsidP="00F7054C">
      <w:pPr>
        <w:pStyle w:val="Titolo1"/>
        <w:rPr>
          <w:bCs/>
        </w:rPr>
      </w:pPr>
      <w:r w:rsidRPr="00F7054C">
        <w:rPr>
          <w:bCs/>
        </w:rPr>
        <w:t xml:space="preserve">Intesa preliminare tra il Governo della Repubblica e la Regione </w:t>
      </w:r>
      <w:r w:rsidRPr="00EA5B62">
        <w:rPr>
          <w:bCs/>
        </w:rPr>
        <w:t>Lombardia</w:t>
      </w:r>
      <w:r w:rsidRPr="00F7054C">
        <w:rPr>
          <w:bCs/>
          <w:color w:val="FF0000"/>
        </w:rPr>
        <w:t xml:space="preserve"> </w:t>
      </w:r>
      <w:r w:rsidRPr="00F7054C">
        <w:rPr>
          <w:bCs/>
        </w:rPr>
        <w:t>ai sensi dell’articolo 116, terzo comma, della Costituzione, ai fini dell’attribuzione di ulteriori forme e condizioni particolari di autonomia nelle materie “protezione civile”, “professioni” e “previdenza complementare e integrativa”</w:t>
      </w:r>
    </w:p>
    <w:p w14:paraId="788CAED7" w14:textId="77777777" w:rsidR="005835D7" w:rsidRPr="00F7054C" w:rsidRDefault="005835D7" w:rsidP="005835D7"/>
    <w:p w14:paraId="0FE91EFB" w14:textId="562673F3" w:rsidR="00F7054C" w:rsidRDefault="00F7054C" w:rsidP="00DB3457">
      <w:pPr>
        <w:ind w:firstLine="0"/>
        <w:jc w:val="center"/>
        <w:rPr>
          <w:b/>
          <w:bCs/>
          <w:color w:val="153D63" w:themeColor="text2" w:themeTint="E6"/>
        </w:rPr>
      </w:pPr>
      <w:r w:rsidRPr="00DB3457">
        <w:rPr>
          <w:b/>
          <w:bCs/>
          <w:color w:val="153D63" w:themeColor="text2" w:themeTint="E6"/>
        </w:rPr>
        <w:t>Relazione illustrativa</w:t>
      </w:r>
    </w:p>
    <w:p w14:paraId="385311DD" w14:textId="77777777" w:rsidR="0076077E" w:rsidRDefault="0076077E"/>
    <w:p w14:paraId="59A61831" w14:textId="77777777" w:rsidR="005835D7" w:rsidRPr="005835D7" w:rsidRDefault="005835D7" w:rsidP="005835D7">
      <w:r w:rsidRPr="005835D7">
        <w:t>La presente intesa preliminare è l’esito del percorso avviato tra il Governo della Repubblica e la Regione Lombardia successivamente all’approvazione della legge 26 giugno 2024, n. 86, recante “</w:t>
      </w:r>
      <w:r w:rsidRPr="005835D7">
        <w:rPr>
          <w:i/>
          <w:iCs/>
        </w:rPr>
        <w:t>Disposizioni per l’attuazione dell’autonomia differenziata delle Regioni a statuto ordinario ai sensi dell’articolo 116, terzo comma, della Costituzione</w:t>
      </w:r>
      <w:r w:rsidRPr="005835D7">
        <w:t>”.</w:t>
      </w:r>
    </w:p>
    <w:p w14:paraId="53FAEC90" w14:textId="77777777" w:rsidR="005835D7" w:rsidRPr="005835D7" w:rsidRDefault="005835D7" w:rsidP="005835D7">
      <w:r w:rsidRPr="005835D7">
        <w:t xml:space="preserve">L’articolo 116, terzo comma, della Costituzione, riconosce difatti la possibilità di attribuire alle Regioni a statuto ordinario ulteriori forme e condizioni particolari di autonomia, concernenti le materie di cui al terzo comma dell’articolo 117 e le materie indicate dal secondo comma del medesimo articolo alle lettere </w:t>
      </w:r>
      <w:r w:rsidRPr="005835D7">
        <w:rPr>
          <w:i/>
          <w:iCs/>
        </w:rPr>
        <w:t>l)</w:t>
      </w:r>
      <w:r w:rsidRPr="005835D7">
        <w:t xml:space="preserve">, limitatamente all’organizzazione della giustizia di pace, </w:t>
      </w:r>
      <w:r w:rsidRPr="005835D7">
        <w:rPr>
          <w:i/>
          <w:iCs/>
        </w:rPr>
        <w:t>n)</w:t>
      </w:r>
      <w:r w:rsidRPr="005835D7">
        <w:t xml:space="preserve"> e </w:t>
      </w:r>
      <w:r w:rsidRPr="005835D7">
        <w:rPr>
          <w:i/>
          <w:iCs/>
        </w:rPr>
        <w:t>s)</w:t>
      </w:r>
      <w:r w:rsidRPr="005835D7">
        <w:t>, precisando in proposito che l’iniziativa del relativo procedimento spetta alla Regione interessata, la quale su di essa deve sentire gli enti locali, e che la conseguente attribuzione avviene con legge dello Stato, approvata dalle Camere a maggioranza assoluta dei componenti, sulla base dell’intesa raggiunta tra lo Stato e la Regione.</w:t>
      </w:r>
    </w:p>
    <w:p w14:paraId="5C523C35" w14:textId="2CFF3069" w:rsidR="005835D7" w:rsidRPr="00D370CA" w:rsidRDefault="005835D7" w:rsidP="005835D7">
      <w:r w:rsidRPr="005835D7">
        <w:t xml:space="preserve">In questa prospettiva, dunque, la legge n. 86 del 2024 definisce sia i principi generali per l’attribuzione alle Regioni di ulteriori forme e condizioni particolari di autonomia sia le modalità procedurali di approvazione delle intese fra lo Stato e la Regione, stabilendo in particolare che l’attribuzione di funzioni relative alle ulteriori forme e condizioni particolari di autonomia, con riguardo a materie o ambiti di materie riferibili ai diritti civili e sociali che devono essere garantiti equamente su tutto il territorio nazionale, è consentita </w:t>
      </w:r>
      <w:r w:rsidRPr="00D370CA">
        <w:t xml:space="preserve">subordinatamente alla determinazione dei relativi livelli essenziali delle prestazioni (LEP) di cui all’articolo 117, </w:t>
      </w:r>
      <w:r w:rsidR="3B064E9F" w:rsidRPr="00D370CA">
        <w:t>second</w:t>
      </w:r>
      <w:r w:rsidRPr="00D370CA">
        <w:t xml:space="preserve">o comma, lettera </w:t>
      </w:r>
      <w:r w:rsidRPr="00D370CA">
        <w:rPr>
          <w:i/>
          <w:iCs/>
        </w:rPr>
        <w:t>m)</w:t>
      </w:r>
      <w:r w:rsidRPr="00D370CA">
        <w:t>, della Costituzione.</w:t>
      </w:r>
    </w:p>
    <w:p w14:paraId="59DCACAC" w14:textId="77777777" w:rsidR="005835D7" w:rsidRPr="005835D7" w:rsidRDefault="005835D7" w:rsidP="005835D7">
      <w:r w:rsidRPr="00D370CA">
        <w:t>In tal senso, essa opera una importante distinzione: da un lato, materie e ambiti di materie LEP, individuati dall’articolo 3, comma 3, per un totale di 14 materie, che, fino alla determinazione dei LEP, non potranno essere oggetto di attribuzione di forme e condizioni particolari di autonomia; dall’altro lato</w:t>
      </w:r>
      <w:r w:rsidRPr="005835D7">
        <w:t>, materie e ambiti di materie cd. non-LEP, con riferimento ai quali il trasferimento delle funzioni, con le relative risorse umane, strumentali e finanziarie, può essere invece effettuato, secondo le modalità, le procedure e i tempi indicati nelle singole intese, nei limiti delle risorse previste a legislazione vigente, a partire dalla data di entrata in vigore della stessa legge n. 86.</w:t>
      </w:r>
    </w:p>
    <w:p w14:paraId="01D92026" w14:textId="77777777" w:rsidR="005835D7" w:rsidRPr="005835D7" w:rsidRDefault="005835D7" w:rsidP="005835D7">
      <w:r w:rsidRPr="005835D7">
        <w:t xml:space="preserve">Si tratta in quest’ultimo caso di nove materie, sempre individuate nell’ambito di quelle richiamate dall’articolo 116, terzo comma, della Costituzione, e segnatamente: organizzazione della giustizia di pace; rapporti internazionali e con l’Unione europea delle </w:t>
      </w:r>
      <w:r w:rsidRPr="005835D7">
        <w:lastRenderedPageBreak/>
        <w:t>Regioni; commercio con l’estero; professioni; protezione civile; previdenza complementare e integrativa; coordinamento della finanza pubblica e del sistema tributario; casse di risparmio, casse rurali, aziende di credito a carattere regionale; enti di credito fondiario e agrario a carattere regionale.</w:t>
      </w:r>
    </w:p>
    <w:p w14:paraId="01B3073C" w14:textId="77777777" w:rsidR="005835D7" w:rsidRPr="005835D7" w:rsidRDefault="005835D7" w:rsidP="005835D7">
      <w:r w:rsidRPr="005835D7">
        <w:t>La distinzione tra materie LEP e non-LEP ha trovato conferma anche nella sentenza n. 192 del 2024, con cui la Corte costituzionale ha in parte accolto e in parte respinto o dichiarato inammissibili i ricorsi promossi in via principale dalle Regioni Puglia, Toscana, Sardegna e Campania avverso la legge n. 86 del 2024, precisando, in particolare, che, ferma restando la predetta separazione, il trasferimento previsto dall’articolo 116, terzo comma, della Costituzione, deve riguardare specifiche funzioni, di natura legislativa e/o amministrativa, che si collocano all’interno delle materie individuate dalla norma costituzionale, nonché basarsi su una ragionevole giustificazione, espressione di un’idonea istruttoria, alla stregua del principio di sussidiarietà, il cui rispetto dovrà essere dimostrato da ciascuna Regione.</w:t>
      </w:r>
    </w:p>
    <w:p w14:paraId="4C292978" w14:textId="77777777" w:rsidR="005835D7" w:rsidRPr="005835D7" w:rsidRDefault="005835D7" w:rsidP="005835D7">
      <w:r w:rsidRPr="005835D7">
        <w:t>La pronuncia della Corte costituzionale si inserisce, quindi, nel percorso intrapreso all’indomani dell’approvazione della legge n. 86 del 2024 e precisamente, per quanto concerne la Regione Lombardia, dalla data del 25 luglio 2024, quando il Presidente della Regione, con comunicazione indirizzata al Ministro per gli affari regionali e le autonomie, ha trasmesso gli atti di iniziativa volti a riprendere il procedimento già avviato nel 2017 per l’attribuzione di forme e condizioni particolari di autonomia ai sensi dell’articolo 116, terzo comma, della Costituzione, nonché della medesima legge di attuazione. Quest’ultima, all’articolo 11, comma 1, stabilisce difatti che “</w:t>
      </w:r>
      <w:r w:rsidRPr="005835D7">
        <w:rPr>
          <w:i/>
          <w:iCs/>
        </w:rPr>
        <w:t>gli atti di iniziativa delle Regioni già presentati al Governo, di cui sia stato avviato il confronto congiunto tra il Governo e la Regione interessata prima della data di entrata in vigore della presente legge, sono esaminati secondo le disposizioni in essa contenute</w:t>
      </w:r>
      <w:r w:rsidRPr="005835D7">
        <w:t>”.</w:t>
      </w:r>
    </w:p>
    <w:p w14:paraId="6228B28F" w14:textId="77777777" w:rsidR="005835D7" w:rsidRPr="00EA5B62" w:rsidRDefault="005835D7" w:rsidP="005835D7">
      <w:r w:rsidRPr="00EA5B62">
        <w:t>La richiesta trasmessa fa, quindi, seguito al percorso intrapreso dalla Regione Lombardia, allorquando, all’esito del referendum consultivo regionale svoltosi in data 22 ottobre 2017, il Consiglio regionale ha approvato, con deliberazione n. X/1645 del 7 novembre 2017, la “Risoluzione n. 97”, sulla cui base sono stati avviati i negoziati che hanno portato alla sottoscrizione, in data 28 febbraio 2018, tra il Governo della Repubblica e la medesima Regione, di un accordo preliminare all’intesa prevista dall’articolo 116, terzo comma, della Costituzione, che, tuttavia, non è stata successivamente raggiunta nonostante le trattative siano proseguite anche negli anni successivi.</w:t>
      </w:r>
    </w:p>
    <w:p w14:paraId="4E570592" w14:textId="77777777" w:rsidR="005835D7" w:rsidRPr="00EA5B62" w:rsidRDefault="005835D7" w:rsidP="005835D7">
      <w:r w:rsidRPr="00EA5B62">
        <w:t xml:space="preserve">In tal modo, la Regione Lombardia, riservandosi in ogni caso la possibilità di successive integrazioni in ordine alle materie richieste, ha manifestato la volontà di riprendere i negoziati, partendo innanzitutto dall’attribuzione di otto materie per cui non è necessaria la previa individuazione dei LEP, e segnatamente: </w:t>
      </w:r>
      <w:bookmarkStart w:id="0" w:name="_Hlk215573278"/>
      <w:r w:rsidRPr="00EA5B62">
        <w:t>commercio con l’estero; coordinamento della finanza pubblica e del sistema tributario; previdenza complementare e integrativa; professioni; protezione civile; rapporti internazionali e con l’Unione europea; casse di risparmio, casse rurali, aziende di credito a carattere regionale; enti di credito fondiario e agrario a carattere regionale.</w:t>
      </w:r>
    </w:p>
    <w:p w14:paraId="7B7D81E9" w14:textId="023106D9" w:rsidR="005835D7" w:rsidRPr="00442A06" w:rsidRDefault="005835D7" w:rsidP="005835D7">
      <w:r w:rsidRPr="00EA5B62">
        <w:t xml:space="preserve">A supporto di tale richiesta, </w:t>
      </w:r>
      <w:bookmarkEnd w:id="0"/>
      <w:r w:rsidRPr="00EA5B62">
        <w:t>in conformità con quanto disposto dall’articolo 2, comma 1, della legge di attuazione, il quale stabilisce, tra l’altro, che “</w:t>
      </w:r>
      <w:r w:rsidRPr="00EA5B62">
        <w:rPr>
          <w:i/>
          <w:iCs/>
        </w:rPr>
        <w:t xml:space="preserve">ai fini dell’avvio del negoziato, il </w:t>
      </w:r>
      <w:r w:rsidRPr="00EA5B62">
        <w:rPr>
          <w:i/>
          <w:iCs/>
        </w:rPr>
        <w:lastRenderedPageBreak/>
        <w:t xml:space="preserve">Presidente del Consiglio dei ministri o il Ministro per </w:t>
      </w:r>
      <w:r w:rsidRPr="00D2183D">
        <w:rPr>
          <w:i/>
          <w:iCs/>
        </w:rPr>
        <w:t xml:space="preserve">gli affari regionali e le autonomie tiene conto del </w:t>
      </w:r>
      <w:r w:rsidRPr="00442A06">
        <w:rPr>
          <w:i/>
          <w:iCs/>
        </w:rPr>
        <w:t>quadro finanziario della Regione</w:t>
      </w:r>
      <w:r w:rsidRPr="00442A06">
        <w:t>”, in data 31 ottobre 2024 la Regione Lombardia ha trasmesso un’ulteriore nota, con relativi allegati, concernente il proprio quadro finanziario</w:t>
      </w:r>
      <w:r w:rsidR="005B5F51" w:rsidRPr="00442A06">
        <w:t>, del quale si è tenuto conto nello svolgimento dei</w:t>
      </w:r>
      <w:r w:rsidR="005C2CED" w:rsidRPr="00442A06">
        <w:t xml:space="preserve"> negoziati.</w:t>
      </w:r>
    </w:p>
    <w:p w14:paraId="18EDB99D" w14:textId="77777777" w:rsidR="005835D7" w:rsidRPr="00EA5B62" w:rsidRDefault="005835D7" w:rsidP="005835D7">
      <w:r w:rsidRPr="00442A06">
        <w:t>Analoghe richieste ai fini all’avvio del negoziato per l’attribuzione di forme e condizioni particolari di autonomia ai sensi dell’articolo 116, terzo comma, della</w:t>
      </w:r>
      <w:r w:rsidRPr="00EA5B62">
        <w:t xml:space="preserve"> Costituzione, e della legge n.86 del 2024, sono state inoltre trasmesse al Ministro per gli affari regionali e le autonomie dalle Regioni Veneto, Liguria e Piemonte, rispettivamente in data 1° luglio 2024, 8 luglio 2024 e 10 luglio 2024.</w:t>
      </w:r>
    </w:p>
    <w:p w14:paraId="72F67A26" w14:textId="77777777" w:rsidR="005835D7" w:rsidRPr="00EA5B62" w:rsidRDefault="005835D7" w:rsidP="005835D7">
      <w:r w:rsidRPr="00EA5B62">
        <w:t>Il complesso di atti di iniziativa regionali ricevuti è stato ritenuto in linea con quanto previsto dall’articolo 116, terzo comma, della Costituzione, nonché dalla legge n. 86, dal Ministro per gli affari regionali e le autonomie, che, in data 26 luglio 2024, ha provveduto a darne comunicazione al Presidente del Consiglio dei ministri, trasmettendoli al contempo ai Ministri competenti per materia e al Ministro dell’economia e delle finanze, ai fini dell’acquisizione delle loro valutazioni. Apposita informativa è stata, inoltre, fornita dal Ministro per gli affari regionali e le autonomie al Consiglio dei ministri, alla Conferenza unificata e ai Presidenti della Camera dei deputati e del Senato della Repubblica, rispettivamente in data 26 luglio 2024, 12 settembre 2024 e 24 settembre 2024.</w:t>
      </w:r>
    </w:p>
    <w:p w14:paraId="74B8F3E5" w14:textId="77777777" w:rsidR="005835D7" w:rsidRPr="00EA5B62" w:rsidRDefault="005835D7" w:rsidP="005835D7">
      <w:r w:rsidRPr="00EA5B62">
        <w:t xml:space="preserve">Dal punto di vista procedurale, nell’ottica di dare avvio ai negoziati, è stato in particolare concordato di procedere alla costituzione di un tavolo congiunto di lavoro, al cui interno coinvolgere, oltre ai rappresentanti delle quattro Regioni richiedenti, anche quelli delle amministrazioni statali competenti, partendo in particolare dalle materie oggetto di comune richiesta. Conseguentemente, l’11 novembre 2024 sono state avviate le trattative finalizzate all’attribuzione di specifiche funzioni a partire dalla materia “protezione civile”. </w:t>
      </w:r>
    </w:p>
    <w:p w14:paraId="76718E33" w14:textId="77777777" w:rsidR="005835D7" w:rsidRPr="00EA5B62" w:rsidRDefault="005835D7" w:rsidP="005835D7">
      <w:r w:rsidRPr="00EA5B62">
        <w:t>Come già evidenziato, nel percorso così intrapreso è in seguito intervenuta la sentenza n. 192 del 2024, che non ha prodotto effetti ostativi al proseguimento dei negoziati già avviati con le quattro Regioni richiedenti con riguardo alle funzioni relative alle materie non-LEP ovvero per le quali i LEP siano già stati determinati, sebbene abbia evidenziato la necessità di giustificare l’iniziativa alla luce del principio di sussidiarietà.</w:t>
      </w:r>
    </w:p>
    <w:p w14:paraId="7D693E06" w14:textId="77777777" w:rsidR="005835D7" w:rsidRPr="002A7483" w:rsidRDefault="005835D7" w:rsidP="005835D7">
      <w:r w:rsidRPr="00EA5B62">
        <w:t xml:space="preserve">Per questa ragione, in data 24 gennaio 2025, il Ministro per gli affari regionali e le autonomie ha chiesto alle quattro Regioni interessate di integrare la documentazione già trasmessa a corredo di ciascun atto di iniziativa al fine di dimostrare che essa è giustificata alla </w:t>
      </w:r>
      <w:r w:rsidRPr="002A7483">
        <w:t xml:space="preserve">luce del principio di sussidiarietà. </w:t>
      </w:r>
    </w:p>
    <w:p w14:paraId="3655B4AF" w14:textId="77777777" w:rsidR="00361221" w:rsidRPr="009678A9" w:rsidRDefault="00361221" w:rsidP="00361221">
      <w:pPr>
        <w:rPr>
          <w:rFonts w:eastAsia="Times New Roman" w:cs="Times New Roman"/>
          <w:szCs w:val="26"/>
        </w:rPr>
      </w:pPr>
      <w:r w:rsidRPr="002A7483">
        <w:t xml:space="preserve">La Regione Lombardia ha dato riscontro a tale richiesta in data 9 ottobre 2025, fornendo elementi di cui si è tenuto conto nei negoziati per l’attribuzione di specifiche funzioni nell’ambito delle materie “protezione civile”, “professioni”, “previdenza complementare e integrativa” </w:t>
      </w:r>
      <w:r w:rsidRPr="002A7483">
        <w:rPr>
          <w:rFonts w:eastAsia="Times New Roman" w:cs="Times New Roman"/>
          <w:szCs w:val="26"/>
        </w:rPr>
        <w:t xml:space="preserve">e “tutela della salute-coordinamento della finanza pubblica”, </w:t>
      </w:r>
      <w:r w:rsidRPr="002A7483">
        <w:t>che si sono sviluppati a partire dall’11 febbraio 2025</w:t>
      </w:r>
      <w:r w:rsidRPr="002A7483">
        <w:rPr>
          <w:rFonts w:eastAsia="Times New Roman" w:cs="Times New Roman"/>
          <w:szCs w:val="26"/>
        </w:rPr>
        <w:t>. In ordine all’osservanza del principio di sussidiarietà nelle richiamate materie oggetto di trattative si rinvia alla relazione dedicata a tale tema.</w:t>
      </w:r>
    </w:p>
    <w:p w14:paraId="34A8446C" w14:textId="77777777" w:rsidR="00361221" w:rsidRDefault="00361221" w:rsidP="005835D7"/>
    <w:p w14:paraId="2BF63CB2" w14:textId="77777777" w:rsidR="005835D7" w:rsidRPr="001A03EA" w:rsidRDefault="005835D7" w:rsidP="005835D7">
      <w:r w:rsidRPr="001A03EA">
        <w:lastRenderedPageBreak/>
        <w:t>Gli esiti di tali attività, condivisi con le varie amministrazioni a diverso titolo coinvolte, hanno costituito l’oggetto di uno specifico accordo preliminare (cd. pre-intesa) sottoscritto tra il Governo della Repubblica e la Regione Lombardia in data 18 novembre 2025, con cui le Parti si sono, tra l’altro, “</w:t>
      </w:r>
      <w:r w:rsidRPr="001A03EA">
        <w:rPr>
          <w:i/>
          <w:iCs/>
        </w:rPr>
        <w:t>impegnate a concludere i negoziati avviati per il trasferimento delle funzioni nelle materie oggetto del medesimo accordo, nel rispetto delle procedure previste dall’ordinamento regionale, entro il 31 dicembre 2025, al fine della predisposizione dello schema di intesa preliminare da sottoporre alla deliberazione del Consiglio dei ministri secondo quanto previsto dalla legge n. 86 del 2024 e in conformità a quanto stabilito dalla sentenza della Corte costituzionale n. 192 del 2024</w:t>
      </w:r>
      <w:r w:rsidRPr="001A03EA">
        <w:t>”.</w:t>
      </w:r>
    </w:p>
    <w:p w14:paraId="20834F95" w14:textId="112BCDF3" w:rsidR="005835D7" w:rsidRPr="00CC7AE6" w:rsidRDefault="009F32F1" w:rsidP="005835D7">
      <w:r w:rsidRPr="00CC7AE6">
        <w:t xml:space="preserve">Facendo seguito al suddetto accordo e alle successive ulteriori interlocuzioni tra le amministrazioni competenti e la Regione, è stata predisposta la presente intesa preliminare, che </w:t>
      </w:r>
      <w:r w:rsidRPr="00CC7AE6">
        <w:rPr>
          <w:rFonts w:eastAsia="Times New Roman" w:cs="Times New Roman"/>
          <w:szCs w:val="26"/>
        </w:rPr>
        <w:t>disciplina, quindi,</w:t>
      </w:r>
      <w:r w:rsidRPr="00CC7AE6">
        <w:t xml:space="preserve"> </w:t>
      </w:r>
      <w:r w:rsidR="005835D7" w:rsidRPr="00CC7AE6">
        <w:t xml:space="preserve">l’attribuzione alla Regione Lombardia di ulteriori specifiche funzioni nelle materie “protezione civile”, “professioni” e “previdenza complementare e integrative” di cui all’articolo 117, terzo comma, della Costituzione. </w:t>
      </w:r>
    </w:p>
    <w:p w14:paraId="5926B9C9" w14:textId="77777777" w:rsidR="00CC7AE6" w:rsidRDefault="00CC7AE6" w:rsidP="005835D7"/>
    <w:p w14:paraId="6890D594" w14:textId="592E1D4B" w:rsidR="005835D7" w:rsidRPr="00EA5B62" w:rsidRDefault="005835D7" w:rsidP="005835D7">
      <w:r>
        <w:t xml:space="preserve">Più in particolare, essa consta di </w:t>
      </w:r>
      <w:r w:rsidRPr="454B18B9">
        <w:rPr>
          <w:b/>
          <w:bCs/>
        </w:rPr>
        <w:t>1</w:t>
      </w:r>
      <w:r w:rsidR="0315F955" w:rsidRPr="454B18B9">
        <w:rPr>
          <w:b/>
          <w:bCs/>
        </w:rPr>
        <w:t>4</w:t>
      </w:r>
      <w:r>
        <w:t xml:space="preserve"> articoli</w:t>
      </w:r>
      <w:r w:rsidR="009F2229">
        <w:t>, suddivisi in 4 titoli</w:t>
      </w:r>
      <w:r>
        <w:t>.</w:t>
      </w:r>
    </w:p>
    <w:p w14:paraId="2EC7A993" w14:textId="25DE2820" w:rsidR="0076077E" w:rsidRPr="00EA5B62" w:rsidRDefault="0076077E">
      <w:r w:rsidRPr="00EA5B62">
        <w:t xml:space="preserve">Il </w:t>
      </w:r>
      <w:r w:rsidRPr="00EA5B62">
        <w:rPr>
          <w:b/>
          <w:bCs/>
        </w:rPr>
        <w:t>Titolo I</w:t>
      </w:r>
      <w:r w:rsidR="00A1595C" w:rsidRPr="00EA5B62">
        <w:t xml:space="preserve">, composto </w:t>
      </w:r>
      <w:r w:rsidR="00297549" w:rsidRPr="00EA5B62">
        <w:t>da</w:t>
      </w:r>
      <w:r w:rsidR="004F3834" w:rsidRPr="00EA5B62">
        <w:t xml:space="preserve">l solo </w:t>
      </w:r>
      <w:r w:rsidR="00A1595C" w:rsidRPr="00EA5B62">
        <w:t>articol</w:t>
      </w:r>
      <w:r w:rsidR="004F3834" w:rsidRPr="00EA5B62">
        <w:t>o</w:t>
      </w:r>
      <w:r w:rsidR="00A1595C" w:rsidRPr="00EA5B62">
        <w:t xml:space="preserve"> 1, </w:t>
      </w:r>
      <w:r w:rsidRPr="00EA5B62">
        <w:t xml:space="preserve">reca le </w:t>
      </w:r>
      <w:r w:rsidRPr="00EA5B62">
        <w:rPr>
          <w:b/>
          <w:bCs/>
        </w:rPr>
        <w:t>disposizioni generali</w:t>
      </w:r>
      <w:r w:rsidR="004F3834" w:rsidRPr="00EA5B62">
        <w:t>.</w:t>
      </w:r>
    </w:p>
    <w:p w14:paraId="63352609" w14:textId="62312FC6" w:rsidR="00CC79B0" w:rsidRPr="00EA5B62" w:rsidRDefault="001414F5" w:rsidP="0076077E">
      <w:r w:rsidRPr="00EA5B62">
        <w:t>In particolare, l</w:t>
      </w:r>
      <w:r w:rsidR="006525D6" w:rsidRPr="00EA5B62">
        <w:t>’</w:t>
      </w:r>
      <w:r w:rsidR="006525D6" w:rsidRPr="00EA5B62">
        <w:rPr>
          <w:b/>
          <w:bCs/>
        </w:rPr>
        <w:t>articolo 1</w:t>
      </w:r>
      <w:r w:rsidR="006525D6" w:rsidRPr="00EA5B62">
        <w:t xml:space="preserve"> </w:t>
      </w:r>
      <w:r w:rsidR="00C561CE" w:rsidRPr="00EA5B62">
        <w:t xml:space="preserve">definisce </w:t>
      </w:r>
      <w:r w:rsidR="006525D6" w:rsidRPr="00EA5B62">
        <w:t>l’oggetto e il contenuto dell</w:t>
      </w:r>
      <w:r w:rsidR="005552B6" w:rsidRPr="00EA5B62">
        <w:t>’</w:t>
      </w:r>
      <w:r w:rsidR="006525D6" w:rsidRPr="00EA5B62">
        <w:t>intesa</w:t>
      </w:r>
      <w:r w:rsidR="005552B6" w:rsidRPr="00EA5B62">
        <w:t xml:space="preserve"> </w:t>
      </w:r>
      <w:r w:rsidR="006525D6" w:rsidRPr="00EA5B62">
        <w:t xml:space="preserve">con la Regione </w:t>
      </w:r>
      <w:r w:rsidR="009F2229" w:rsidRPr="00EA5B62">
        <w:t>Lombardia</w:t>
      </w:r>
      <w:r w:rsidR="006525D6" w:rsidRPr="00EA5B62">
        <w:t xml:space="preserve">, specificando che l’accordo </w:t>
      </w:r>
      <w:r w:rsidR="00F33310" w:rsidRPr="00EA5B62">
        <w:t xml:space="preserve">comporta </w:t>
      </w:r>
      <w:r w:rsidR="0048038E" w:rsidRPr="00EA5B62">
        <w:t>l’attribuzione alla regione di ulteriori forme e condizioni particolari di autonomia ai sensi dell’articolo 116, terzo comma, della Costituzione</w:t>
      </w:r>
      <w:r w:rsidR="001A5EB0" w:rsidRPr="00EA5B62">
        <w:t xml:space="preserve"> e della legge n. </w:t>
      </w:r>
      <w:r w:rsidR="006D1A16" w:rsidRPr="00EA5B62">
        <w:t>86 del 2024</w:t>
      </w:r>
      <w:r w:rsidR="001A5EB0" w:rsidRPr="00EA5B62">
        <w:t xml:space="preserve">. </w:t>
      </w:r>
      <w:r w:rsidR="007A7811" w:rsidRPr="00EA5B62">
        <w:t>La stessa disposizione specifica</w:t>
      </w:r>
      <w:r w:rsidR="00F33310" w:rsidRPr="00EA5B62">
        <w:t>,</w:t>
      </w:r>
      <w:r w:rsidR="007A7811" w:rsidRPr="00EA5B62">
        <w:t xml:space="preserve"> al </w:t>
      </w:r>
      <w:r w:rsidR="007A7811" w:rsidRPr="00EA5B62">
        <w:rPr>
          <w:b/>
          <w:bCs/>
        </w:rPr>
        <w:t>comma 1</w:t>
      </w:r>
      <w:r w:rsidR="00F33310" w:rsidRPr="00EA5B62">
        <w:t>,</w:t>
      </w:r>
      <w:r w:rsidR="007A7811" w:rsidRPr="00EA5B62">
        <w:t xml:space="preserve"> che </w:t>
      </w:r>
      <w:r w:rsidR="00126715" w:rsidRPr="00EA5B62">
        <w:t>l’attribuzione di ulteriori forme e condizioni di autonomia deve avvenire</w:t>
      </w:r>
      <w:r w:rsidR="00CC79B0" w:rsidRPr="00EA5B62">
        <w:t xml:space="preserve"> nel rispetto:</w:t>
      </w:r>
    </w:p>
    <w:p w14:paraId="0713DCB1" w14:textId="77777777" w:rsidR="00CC79B0" w:rsidRPr="00EA5B62" w:rsidRDefault="0048038E" w:rsidP="00CC79B0">
      <w:pPr>
        <w:pStyle w:val="Paragrafoelenco"/>
        <w:numPr>
          <w:ilvl w:val="0"/>
          <w:numId w:val="25"/>
        </w:numPr>
      </w:pPr>
      <w:r w:rsidRPr="00EA5B62">
        <w:t>dei principi posti dagli articoli 3, 5, 81,117, 118 e 119 della Costituzione</w:t>
      </w:r>
      <w:r w:rsidR="00CC79B0" w:rsidRPr="00EA5B62">
        <w:t>;</w:t>
      </w:r>
    </w:p>
    <w:p w14:paraId="212D07C6" w14:textId="76931D7B" w:rsidR="0076077E" w:rsidRDefault="0048038E" w:rsidP="00CC79B0">
      <w:pPr>
        <w:pStyle w:val="Paragrafoelenco"/>
        <w:numPr>
          <w:ilvl w:val="0"/>
          <w:numId w:val="25"/>
        </w:numPr>
      </w:pPr>
      <w:r w:rsidRPr="00EA5B62">
        <w:t>del principio di leale collaborazione</w:t>
      </w:r>
      <w:r w:rsidR="00A56CE5">
        <w:t xml:space="preserve">, che rappresenta il fondamento delle </w:t>
      </w:r>
      <w:r>
        <w:t xml:space="preserve">relazioni tra </w:t>
      </w:r>
      <w:r w:rsidR="00A56CE5">
        <w:t xml:space="preserve">gli enti che, </w:t>
      </w:r>
      <w:r>
        <w:t>ai sensi dell’articolo 114 della Costituzione, compongono la Repubblica, nella consapevolezza del suo carattere unitario e indivisibile.</w:t>
      </w:r>
    </w:p>
    <w:p w14:paraId="4B345E9F" w14:textId="4417C4C8" w:rsidR="00051F1D" w:rsidRDefault="00CF22A6" w:rsidP="00D06F29">
      <w:r>
        <w:t xml:space="preserve">Il </w:t>
      </w:r>
      <w:r w:rsidRPr="00051F1D">
        <w:rPr>
          <w:b/>
          <w:bCs/>
        </w:rPr>
        <w:t>comma 2</w:t>
      </w:r>
      <w:r>
        <w:t xml:space="preserve"> dell’articolo 1 chiarisce che i</w:t>
      </w:r>
      <w:r w:rsidRPr="00CF22A6">
        <w:t>l riconoscimento di forme e condizioni particolari di autonomia corrisponde all’attribuzione alla Regione di specifiche funzioni concernenti le materie “protezione civile”, “professioni” e “previdenza complementare e integrativa” di cui all’articolo 117, terzo comma, della Costituzione</w:t>
      </w:r>
      <w:r w:rsidR="00051F1D">
        <w:t xml:space="preserve">. </w:t>
      </w:r>
      <w:r w:rsidR="005A47EA">
        <w:t>Tanto il riferimento alle “specifiche funzioni”</w:t>
      </w:r>
      <w:r w:rsidR="003B188A">
        <w:t>,</w:t>
      </w:r>
      <w:r w:rsidR="005A47EA">
        <w:t xml:space="preserve"> quanto la scelta di queste tre materie</w:t>
      </w:r>
      <w:r w:rsidR="00A97E57">
        <w:t xml:space="preserve">, per le quali in base all’articolo 3 della legge n. 86 del 2024 non è necessario procedere alla previa determinazione dei LEP, </w:t>
      </w:r>
      <w:r w:rsidR="00384F92">
        <w:t xml:space="preserve">risultano conformi alle indicazioni date dalla Corte costituzionale nella </w:t>
      </w:r>
      <w:r w:rsidR="00C135E6">
        <w:t xml:space="preserve">già richiamata </w:t>
      </w:r>
      <w:r w:rsidR="00AE2B0C">
        <w:t>sentenza n. 192 del 2024</w:t>
      </w:r>
      <w:r w:rsidR="00C135E6">
        <w:t xml:space="preserve">. Per quanto riguarda le specifiche funzioni, infatti, la Corte ha </w:t>
      </w:r>
      <w:r w:rsidR="00CD569E">
        <w:t xml:space="preserve">affermato </w:t>
      </w:r>
      <w:r w:rsidR="005C54FC">
        <w:t>che «</w:t>
      </w:r>
      <w:r w:rsidR="005C54FC" w:rsidRPr="00C135E6">
        <w:rPr>
          <w:i/>
          <w:iCs/>
        </w:rPr>
        <w:t>L'art. 116, terzo comma, Cost. va interpretato coerentemente con il significato del principio</w:t>
      </w:r>
      <w:r w:rsidR="00CD569E" w:rsidRPr="00C135E6">
        <w:rPr>
          <w:i/>
          <w:iCs/>
        </w:rPr>
        <w:t xml:space="preserve"> </w:t>
      </w:r>
      <w:r w:rsidR="005C54FC" w:rsidRPr="00C135E6">
        <w:rPr>
          <w:i/>
          <w:iCs/>
        </w:rPr>
        <w:t>di sussidiarietà, e pertanto la devoluzione non può riferirsi a materie o ad ambiti</w:t>
      </w:r>
      <w:r w:rsidR="00CD569E" w:rsidRPr="00C135E6">
        <w:rPr>
          <w:i/>
          <w:iCs/>
        </w:rPr>
        <w:t xml:space="preserve"> </w:t>
      </w:r>
      <w:r w:rsidR="005C54FC" w:rsidRPr="00C135E6">
        <w:rPr>
          <w:i/>
          <w:iCs/>
        </w:rPr>
        <w:t>di materie, ma a specifiche funzioni. Il tenore letterale della disposizione conferma tale conclusione. Essa, infatti, fa riferimento alle ulteriori forme e condizioni</w:t>
      </w:r>
      <w:r w:rsidR="00CD569E" w:rsidRPr="00C135E6">
        <w:rPr>
          <w:i/>
          <w:iCs/>
        </w:rPr>
        <w:t xml:space="preserve"> </w:t>
      </w:r>
      <w:r w:rsidR="005C54FC" w:rsidRPr="00C135E6">
        <w:rPr>
          <w:i/>
          <w:iCs/>
        </w:rPr>
        <w:t>particolari di autonomia "concernenti le materie", lasciando intendere che il trasferimento</w:t>
      </w:r>
      <w:r w:rsidR="00DB060B" w:rsidRPr="00C135E6">
        <w:rPr>
          <w:i/>
          <w:iCs/>
        </w:rPr>
        <w:t xml:space="preserve"> </w:t>
      </w:r>
      <w:r w:rsidR="005C54FC" w:rsidRPr="00C135E6">
        <w:rPr>
          <w:i/>
          <w:iCs/>
        </w:rPr>
        <w:t>non riguarda le materie ma le singole funzioni concernenti le materie</w:t>
      </w:r>
      <w:r w:rsidR="00DB060B">
        <w:t>»</w:t>
      </w:r>
      <w:r w:rsidR="00CD5050">
        <w:t xml:space="preserve"> (cfr. </w:t>
      </w:r>
      <w:proofErr w:type="spellStart"/>
      <w:r w:rsidR="00CD5050">
        <w:t>pt</w:t>
      </w:r>
      <w:proofErr w:type="spellEnd"/>
      <w:r w:rsidR="00CD5050">
        <w:t xml:space="preserve">. 4.1 del </w:t>
      </w:r>
      <w:r w:rsidR="00CD5050" w:rsidRPr="00CD5050">
        <w:rPr>
          <w:i/>
          <w:iCs/>
        </w:rPr>
        <w:t>Considerato in diritto</w:t>
      </w:r>
      <w:r w:rsidR="00CD5050">
        <w:t>)</w:t>
      </w:r>
      <w:r w:rsidR="005C54FC">
        <w:t xml:space="preserve">. </w:t>
      </w:r>
      <w:r w:rsidR="00C135E6">
        <w:t xml:space="preserve">Quanto alla possibilità di procedere al riconoscimento di ulteriori forme di autonomia </w:t>
      </w:r>
      <w:r w:rsidR="006E40F9">
        <w:lastRenderedPageBreak/>
        <w:t xml:space="preserve">nell’ambito di materie c.d. non LEP, la Corte ha </w:t>
      </w:r>
      <w:r w:rsidR="00F36ECB">
        <w:t xml:space="preserve">fornito una interpretazione </w:t>
      </w:r>
      <w:r w:rsidR="001F50B6">
        <w:t xml:space="preserve">costituzionalmente conforme dell’articolo 3, comma 3, della legge n. 86 del 2024, </w:t>
      </w:r>
      <w:r w:rsidR="006E40F9">
        <w:t>chiar</w:t>
      </w:r>
      <w:r w:rsidR="001F50B6">
        <w:t xml:space="preserve">endo </w:t>
      </w:r>
      <w:r w:rsidR="006E40F9">
        <w:t xml:space="preserve">che </w:t>
      </w:r>
      <w:r w:rsidR="00F36ECB">
        <w:t>«</w:t>
      </w:r>
      <w:r w:rsidR="00156F70" w:rsidRPr="00BB0E5C">
        <w:rPr>
          <w:i/>
          <w:iCs/>
        </w:rPr>
        <w:t>nel momento in cui il legislatore qualifica una materia come "no-LEP",</w:t>
      </w:r>
      <w:r w:rsidR="001F50B6" w:rsidRPr="00BB0E5C">
        <w:rPr>
          <w:i/>
          <w:iCs/>
        </w:rPr>
        <w:t xml:space="preserve"> </w:t>
      </w:r>
      <w:r w:rsidR="00156F70" w:rsidRPr="00BB0E5C">
        <w:rPr>
          <w:i/>
          <w:iCs/>
        </w:rPr>
        <w:t>i relativi trasferimenti non potranno riguardare funzioni che attengono a prestazioni</w:t>
      </w:r>
      <w:r w:rsidR="001F50B6" w:rsidRPr="00BB0E5C">
        <w:rPr>
          <w:i/>
          <w:iCs/>
        </w:rPr>
        <w:t xml:space="preserve"> c</w:t>
      </w:r>
      <w:r w:rsidR="00156F70" w:rsidRPr="00BB0E5C">
        <w:rPr>
          <w:i/>
          <w:iCs/>
        </w:rPr>
        <w:t>oncernenti i diritti civili e sociali</w:t>
      </w:r>
      <w:r w:rsidR="00D06F29">
        <w:t>»</w:t>
      </w:r>
      <w:r w:rsidR="004573B9">
        <w:t xml:space="preserve"> (cfr. </w:t>
      </w:r>
      <w:proofErr w:type="spellStart"/>
      <w:r w:rsidR="004573B9">
        <w:t>pt</w:t>
      </w:r>
      <w:proofErr w:type="spellEnd"/>
      <w:r w:rsidR="004573B9">
        <w:t xml:space="preserve"> 15.2 del </w:t>
      </w:r>
      <w:r w:rsidR="004573B9" w:rsidRPr="00D71C2C">
        <w:rPr>
          <w:i/>
          <w:iCs/>
        </w:rPr>
        <w:t>Considerato in diritto</w:t>
      </w:r>
      <w:r w:rsidR="004573B9">
        <w:t>)</w:t>
      </w:r>
      <w:r w:rsidR="00BB0E5C">
        <w:t xml:space="preserve">. </w:t>
      </w:r>
    </w:p>
    <w:p w14:paraId="08C058FF" w14:textId="011CFF8E" w:rsidR="00BB0E5C" w:rsidRDefault="00BB0E5C" w:rsidP="00D06F29">
      <w:r>
        <w:t>Conseguentemente, l’accordo in esame provvede a trasferire alla regione specifiche funzioni</w:t>
      </w:r>
      <w:r w:rsidR="006438E1">
        <w:t xml:space="preserve"> che non attengono a prestazioni concernenti i diritti civili e sociali</w:t>
      </w:r>
      <w:r w:rsidR="00786AD7">
        <w:t>,</w:t>
      </w:r>
      <w:r w:rsidR="006438E1">
        <w:t xml:space="preserve"> nell’ambito di ma</w:t>
      </w:r>
      <w:r w:rsidR="00D9266C">
        <w:t>terie</w:t>
      </w:r>
      <w:r w:rsidR="00393813">
        <w:t xml:space="preserve"> per le quali la legge n. 86 del 2024, anche a seguito dello scrutinio della Corte costituzionale, non prevede la previa determinazione dei LEP.</w:t>
      </w:r>
    </w:p>
    <w:p w14:paraId="3FAFF547" w14:textId="77777777" w:rsidR="0076077E" w:rsidRDefault="0076077E" w:rsidP="0076077E"/>
    <w:p w14:paraId="07482ADF" w14:textId="39B3E3F6" w:rsidR="004F3834" w:rsidRDefault="004F3834" w:rsidP="004F3834">
      <w:r>
        <w:t xml:space="preserve">Il </w:t>
      </w:r>
      <w:r w:rsidRPr="001414F5">
        <w:rPr>
          <w:b/>
          <w:bCs/>
        </w:rPr>
        <w:t>Titolo II</w:t>
      </w:r>
      <w:r>
        <w:t xml:space="preserve"> </w:t>
      </w:r>
      <w:r w:rsidR="003F32B5">
        <w:t>disciplina</w:t>
      </w:r>
      <w:r>
        <w:t xml:space="preserve"> l’attribuzione di funzioni</w:t>
      </w:r>
      <w:r w:rsidR="00D748CA">
        <w:t xml:space="preserve"> alla Regione </w:t>
      </w:r>
      <w:r>
        <w:t>nelle materie “Protezione civile” (capo I</w:t>
      </w:r>
      <w:r w:rsidR="00D74F51">
        <w:t>, articoli 2-6</w:t>
      </w:r>
      <w:r>
        <w:t>), “professioni” (capo II</w:t>
      </w:r>
      <w:r w:rsidR="00D74F51">
        <w:t>, articoli 7-8</w:t>
      </w:r>
      <w:r>
        <w:t>) e “previdenza complementare e integrativa” (capo III</w:t>
      </w:r>
      <w:r w:rsidR="00D74F51">
        <w:t>, articolo 9</w:t>
      </w:r>
      <w:r>
        <w:t>).</w:t>
      </w:r>
    </w:p>
    <w:p w14:paraId="4BCC0CD3" w14:textId="7FC879D1" w:rsidR="001414F5" w:rsidRPr="00354E9D" w:rsidRDefault="00D74F51" w:rsidP="004F3834">
      <w:r>
        <w:t>Per quanto riguarda la materia “</w:t>
      </w:r>
      <w:r w:rsidRPr="00183000">
        <w:rPr>
          <w:b/>
          <w:bCs/>
        </w:rPr>
        <w:t>Pro</w:t>
      </w:r>
      <w:r w:rsidR="00183000" w:rsidRPr="00183000">
        <w:rPr>
          <w:b/>
          <w:bCs/>
        </w:rPr>
        <w:t>tezione</w:t>
      </w:r>
      <w:r w:rsidRPr="00183000">
        <w:rPr>
          <w:b/>
          <w:bCs/>
        </w:rPr>
        <w:t xml:space="preserve"> civile</w:t>
      </w:r>
      <w:r>
        <w:t>”</w:t>
      </w:r>
      <w:r w:rsidR="007E6E0A">
        <w:t>, l’</w:t>
      </w:r>
      <w:r w:rsidR="007E6E0A" w:rsidRPr="000128AB">
        <w:rPr>
          <w:b/>
          <w:bCs/>
        </w:rPr>
        <w:t>articolo 2</w:t>
      </w:r>
      <w:r w:rsidR="00101A2C">
        <w:t xml:space="preserve"> </w:t>
      </w:r>
      <w:r w:rsidR="00D748CA">
        <w:t xml:space="preserve">è volto ad </w:t>
      </w:r>
      <w:r w:rsidR="00D748CA" w:rsidRPr="00354E9D">
        <w:t>attribuire al Presidente della Regione, per far fronte ad emergenze regionali, il potere di emanare ordinanze in deroga alla disciplina statale, nel rispetto di specifici limiti e seguendo un procedimento che prevede il coinvolgimento del Consiglio dei ministri.</w:t>
      </w:r>
    </w:p>
    <w:p w14:paraId="23879E09" w14:textId="0A2B2704" w:rsidR="00841258" w:rsidRDefault="0094025B" w:rsidP="004F3834">
      <w:r>
        <w:t xml:space="preserve">L’intesa interviene </w:t>
      </w:r>
      <w:r w:rsidRPr="00C00032">
        <w:t>dunque sul potere di ordinanza, già disciplinato</w:t>
      </w:r>
      <w:r>
        <w:t xml:space="preserve"> per le emergenze di protezione civile dall’articolo 25 del </w:t>
      </w:r>
      <w:r w:rsidR="00E0432E">
        <w:t>decreto legislativo n. 1 del 2018, che reca il codice di protezione</w:t>
      </w:r>
      <w:r w:rsidR="00E0432E" w:rsidRPr="00841258">
        <w:t xml:space="preserve"> </w:t>
      </w:r>
      <w:r w:rsidR="0048063C">
        <w:t xml:space="preserve">civile, </w:t>
      </w:r>
      <w:r w:rsidR="00841258" w:rsidRPr="00841258">
        <w:t>che, al comma 1, attualmente stabilisce che: «</w:t>
      </w:r>
      <w:r w:rsidR="00841258" w:rsidRPr="00741E25">
        <w:rPr>
          <w:i/>
          <w:iCs/>
        </w:rPr>
        <w:t>Per il coordinamento dell'attuazione degli interventi da effettuare durante lo stato di emergenza di rilievo nazionale si provvede mediante ordinanze di protezione civile, da adottarsi in deroga ad ogni disposizione vigente, nei limiti e con le modalità indicati nella deliberazione dello stato di emergenza e nel rispetto dei principi generali dell'ordinamento giuridico e delle norme dell'Unione europea. Le ordinanze sono emanate acquisita l'intesa delle Regioni e Province autonome territorialmente interessate e, ove rechino deroghe alle leggi vigenti, devono contenere l'indicazione delle principali norme a cui si intende derogare e devono essere specificamente motivate</w:t>
      </w:r>
      <w:r w:rsidR="00841258" w:rsidRPr="00841258">
        <w:t xml:space="preserve">». </w:t>
      </w:r>
      <w:r w:rsidR="002251D3">
        <w:t xml:space="preserve">In base al </w:t>
      </w:r>
      <w:r w:rsidR="00841258" w:rsidRPr="00841258">
        <w:t xml:space="preserve">comma 11 dell’articolo 25 </w:t>
      </w:r>
      <w:r w:rsidR="00A758F9">
        <w:t>l</w:t>
      </w:r>
      <w:r w:rsidR="00A758F9" w:rsidRPr="00A758F9">
        <w:t>e Regioni e le Province autonome di Trento e di Bolzano, nell'esercizio della propria potestà legislativa,</w:t>
      </w:r>
      <w:r w:rsidR="00A758F9">
        <w:t xml:space="preserve"> possono </w:t>
      </w:r>
      <w:r w:rsidR="00841258" w:rsidRPr="00841258">
        <w:t>emanare provvedimenti analoghi</w:t>
      </w:r>
      <w:r w:rsidR="007B0015">
        <w:t xml:space="preserve"> </w:t>
      </w:r>
      <w:r w:rsidR="00841258" w:rsidRPr="007B0015">
        <w:t>in deroga alle disposizioni legislative regionali vigenti</w:t>
      </w:r>
      <w:r w:rsidR="00841258" w:rsidRPr="00841258">
        <w:t xml:space="preserve">. </w:t>
      </w:r>
      <w:r w:rsidR="007B0015">
        <w:t xml:space="preserve">Specifici limiti all’esercizio del potere statale di ordinanza sono stati </w:t>
      </w:r>
      <w:r w:rsidR="00F233DD">
        <w:t xml:space="preserve">individuati dalla </w:t>
      </w:r>
      <w:r w:rsidR="00841258" w:rsidRPr="00841258">
        <w:t>giurisprudenza costituzionale</w:t>
      </w:r>
      <w:r w:rsidR="00F233DD">
        <w:t xml:space="preserve">: </w:t>
      </w:r>
      <w:r w:rsidR="00841258" w:rsidRPr="00841258">
        <w:t>rispetto dei principi generali dell’ordinamento; efficacia limitata nel tempo; obbligo di motivazione (necessario per far sì che il potere non sia esercitato arbitrariamente); proporzionalità fra misure adottate ed evento; capacità solo derogatoria, anziché abrogativa o modificativa, delle norme di legge; indicazione adeguata dei settori dell’ordinamento derogati; strumentalità della deroga alla soluzione della emergenza.</w:t>
      </w:r>
    </w:p>
    <w:p w14:paraId="6F9B9B9B" w14:textId="41F81A27" w:rsidR="00A72D3F" w:rsidRDefault="00E0432E" w:rsidP="002160C4">
      <w:r>
        <w:t xml:space="preserve">Inserendosi in questo quadro normativo, l’articolo 2 </w:t>
      </w:r>
      <w:r w:rsidR="00852987">
        <w:t xml:space="preserve">ha ad oggetto </w:t>
      </w:r>
      <w:r w:rsidR="00542E61">
        <w:t xml:space="preserve">gli eventi calamitosi di cui all’articolo 7, comma 1, lettera </w:t>
      </w:r>
      <w:r w:rsidR="00542E61" w:rsidRPr="00E904AB">
        <w:rPr>
          <w:i/>
          <w:iCs/>
        </w:rPr>
        <w:t>b)</w:t>
      </w:r>
      <w:r w:rsidR="00542E61">
        <w:t xml:space="preserve"> del</w:t>
      </w:r>
      <w:r w:rsidR="0048063C">
        <w:t xml:space="preserve"> codice di protezione civile</w:t>
      </w:r>
      <w:r w:rsidR="00542E61">
        <w:t xml:space="preserve">, e dunque </w:t>
      </w:r>
      <w:r w:rsidR="00A72D3F">
        <w:t>le</w:t>
      </w:r>
      <w:r w:rsidR="00542E61">
        <w:t xml:space="preserve"> «emergenze connesse con eventi calamitosi di origine naturale o derivanti dall'attività dell'uomo che per loro natura o estensione comportano l'intervento coordinato di più enti o amministrazioni, e </w:t>
      </w:r>
      <w:r w:rsidR="00542E61">
        <w:lastRenderedPageBreak/>
        <w:t>debbono essere fronteggiati con mezzi e poteri straordinari da impiegare durante limitati e predefiniti periodi di tempo, disciplinati dalle Regioni e dalle Province autonome di Trento e di Bolzano nell'esercizio della rispettiva potestà legislativa»</w:t>
      </w:r>
      <w:r w:rsidR="00A72D3F">
        <w:t xml:space="preserve">. </w:t>
      </w:r>
      <w:r w:rsidR="005151CC">
        <w:t xml:space="preserve">Si tratta di </w:t>
      </w:r>
      <w:r w:rsidR="005151CC" w:rsidRPr="00104CA7">
        <w:t>eventi calamitosi che, per natura ed estensione, sono da considerarsi di livello regionale</w:t>
      </w:r>
      <w:r w:rsidR="005151CC" w:rsidRPr="00AA2D94">
        <w:t xml:space="preserve">, </w:t>
      </w:r>
      <w:r w:rsidR="005151CC">
        <w:t xml:space="preserve">e rispetto ai quali </w:t>
      </w:r>
      <w:r w:rsidR="00A0660E">
        <w:t xml:space="preserve">già attualmente le regioni possono intervenire, pur senza poter </w:t>
      </w:r>
      <w:r w:rsidR="005151CC" w:rsidRPr="00AA2D94">
        <w:t xml:space="preserve">derogare </w:t>
      </w:r>
      <w:r w:rsidR="00A0660E">
        <w:t>al</w:t>
      </w:r>
      <w:r w:rsidR="005151CC" w:rsidRPr="00AA2D94">
        <w:t>la normativa statale</w:t>
      </w:r>
      <w:r w:rsidR="005151CC">
        <w:t xml:space="preserve">. Nei casi di cui all’art. 7, comma 1, lett. </w:t>
      </w:r>
      <w:r w:rsidR="005151CC" w:rsidRPr="00B97CDD">
        <w:rPr>
          <w:i/>
          <w:iCs/>
        </w:rPr>
        <w:t>b)</w:t>
      </w:r>
      <w:r w:rsidR="005151CC">
        <w:t xml:space="preserve">, </w:t>
      </w:r>
      <w:r w:rsidR="00A0660E">
        <w:t xml:space="preserve">infatti, </w:t>
      </w:r>
      <w:r w:rsidR="005151CC">
        <w:t xml:space="preserve">le Regioni e le Province autonome di Trento e Bolzano possono, nell’esercizio della propria potestà legislativa ed amministrativa: disciplinare le modalità per la deliberazione dello stato di emergenza e per lo svolgimento delle conseguenti attività (art. 11, co. 1, lett. </w:t>
      </w:r>
      <w:r w:rsidR="005151CC" w:rsidRPr="00A0660E">
        <w:rPr>
          <w:i/>
          <w:iCs/>
        </w:rPr>
        <w:t>f)</w:t>
      </w:r>
      <w:r w:rsidR="005151CC">
        <w:t>; dichiarare lo stato di mobilitazione straordinaria del sistema regionale di protezione civile (art. 23, comma 4), con oneri a carico dei propri bilanci; dichiarare lo stato di emergenza regionale (art. 24, comma 9); emanare provvedimenti analoghi alle ordinanze di protezione civile, attraverso le quali derogare alle disposizioni legislative regionali vigenti (cfr. art. 25, comma 11).</w:t>
      </w:r>
    </w:p>
    <w:p w14:paraId="76C74FDB" w14:textId="0B8230A8" w:rsidR="002821EB" w:rsidRPr="00354E9D" w:rsidRDefault="00D72AA0" w:rsidP="002160C4">
      <w:r>
        <w:t xml:space="preserve">L’attribuzione di ulteriori forme e condizioni di autonomia alla Regione consiste, in base al </w:t>
      </w:r>
      <w:r w:rsidR="00907CFB" w:rsidRPr="00591FE1">
        <w:rPr>
          <w:b/>
          <w:bCs/>
        </w:rPr>
        <w:t>comma 1</w:t>
      </w:r>
      <w:r w:rsidR="00907CFB">
        <w:t xml:space="preserve">, </w:t>
      </w:r>
      <w:r w:rsidR="00FA5A9B">
        <w:t xml:space="preserve">nel riconoscere al Presidente della Regione, </w:t>
      </w:r>
      <w:r w:rsidR="00907CFB">
        <w:t>q</w:t>
      </w:r>
      <w:r w:rsidR="00A72D3F">
        <w:t xml:space="preserve">uando </w:t>
      </w:r>
      <w:r w:rsidR="00FA5A9B">
        <w:t xml:space="preserve">gli eventi </w:t>
      </w:r>
      <w:r w:rsidR="00313FA7">
        <w:t xml:space="preserve">calamitosi </w:t>
      </w:r>
      <w:r w:rsidR="00A72D3F">
        <w:t>“</w:t>
      </w:r>
      <w:r w:rsidR="0077418E">
        <w:t>interessano esclusivamente il territorio regionale</w:t>
      </w:r>
      <w:r w:rsidR="00A72D3F">
        <w:t xml:space="preserve">”, </w:t>
      </w:r>
      <w:r w:rsidR="00313FA7">
        <w:t xml:space="preserve">il potere non solo di </w:t>
      </w:r>
      <w:r w:rsidR="0093381E">
        <w:t xml:space="preserve">intervenire </w:t>
      </w:r>
      <w:r w:rsidR="004F2592">
        <w:t xml:space="preserve">con ordinanze che operano in deroga </w:t>
      </w:r>
      <w:r w:rsidR="004F2592" w:rsidRPr="00D56C99">
        <w:t xml:space="preserve">alle disposizioni legislative regionali </w:t>
      </w:r>
      <w:r w:rsidR="001F2560">
        <w:t>(</w:t>
      </w:r>
      <w:r w:rsidR="0093381E">
        <w:t>in base all’articolo 25, comma 11, del citato codice</w:t>
      </w:r>
      <w:r w:rsidR="001F2560">
        <w:t>)</w:t>
      </w:r>
      <w:r w:rsidR="00313FA7">
        <w:t xml:space="preserve">, ma anche con ordinanze </w:t>
      </w:r>
      <w:r w:rsidR="00540382">
        <w:t xml:space="preserve">in </w:t>
      </w:r>
      <w:r w:rsidR="00540382" w:rsidRPr="00354E9D">
        <w:t>deroga alle disposizioni normative statali</w:t>
      </w:r>
      <w:r w:rsidR="004F2592" w:rsidRPr="00354E9D">
        <w:t>, nel rispetto d</w:t>
      </w:r>
      <w:r w:rsidR="00653B21" w:rsidRPr="00354E9D">
        <w:t xml:space="preserve">i </w:t>
      </w:r>
      <w:r w:rsidR="004F2592" w:rsidRPr="00354E9D">
        <w:t>specifici limiti</w:t>
      </w:r>
      <w:r w:rsidR="001F2560" w:rsidRPr="00354E9D">
        <w:t xml:space="preserve">, contenutistici e </w:t>
      </w:r>
      <w:r w:rsidR="00653B21" w:rsidRPr="00354E9D">
        <w:t>procedurali</w:t>
      </w:r>
      <w:r w:rsidR="00C831CF" w:rsidRPr="00354E9D">
        <w:t xml:space="preserve">. </w:t>
      </w:r>
    </w:p>
    <w:p w14:paraId="0E8485A6" w14:textId="77777777" w:rsidR="0044399B" w:rsidRPr="0044399B" w:rsidRDefault="00E24830" w:rsidP="002160C4">
      <w:r w:rsidRPr="0044399B">
        <w:t xml:space="preserve">Considerata </w:t>
      </w:r>
      <w:r w:rsidR="0055403E" w:rsidRPr="0044399B">
        <w:t xml:space="preserve">la difficoltà di individuare </w:t>
      </w:r>
      <w:r w:rsidR="0055403E" w:rsidRPr="0044399B">
        <w:rPr>
          <w:i/>
          <w:iCs/>
        </w:rPr>
        <w:t>ex ante</w:t>
      </w:r>
      <w:r w:rsidR="0055403E" w:rsidRPr="0044399B">
        <w:t xml:space="preserve"> e in positivo un elenco di disposizioni statali derogabili con atti regionali - risultando spesso la deroga motivata sulla base delle peculiarità dell’evento in concreto occorso, non preventivabili in via generale e astratta – e considerata la possibilità che deroghe preventivate in via astratta afferiscano comunque a funzioni incidenti su diritti civili e sociali</w:t>
      </w:r>
      <w:r w:rsidR="0044399B" w:rsidRPr="0044399B">
        <w:t xml:space="preserve"> (per i quali occorre la previa determinazione dei LEP, v. </w:t>
      </w:r>
      <w:r w:rsidR="0044399B" w:rsidRPr="0044399B">
        <w:rPr>
          <w:i/>
          <w:iCs/>
        </w:rPr>
        <w:t>infra</w:t>
      </w:r>
      <w:r w:rsidR="0044399B" w:rsidRPr="0044399B">
        <w:t>)</w:t>
      </w:r>
      <w:r w:rsidR="0055403E" w:rsidRPr="0044399B">
        <w:t xml:space="preserve">, </w:t>
      </w:r>
      <w:r w:rsidR="0044399B" w:rsidRPr="0044399B">
        <w:t xml:space="preserve">si è ritenuto </w:t>
      </w:r>
      <w:r w:rsidR="0055403E" w:rsidRPr="0044399B">
        <w:t>preferibile attribuire alla Regione un potere derogatorio generale, limitato sia nell’iter procedurale (cfr. comma 3), sia in negativo, mediante l’individuazione delle disposizioni che, in quanto attinenti a principi generali, norme unionali o ambiti particolarmente sensibili, non potrebbero mai essere derogate.</w:t>
      </w:r>
    </w:p>
    <w:p w14:paraId="7C487554" w14:textId="174CC5F6" w:rsidR="004F2592" w:rsidRDefault="00941B09" w:rsidP="002160C4">
      <w:r>
        <w:t xml:space="preserve">Dal punto di vista dell’estensione del potere derogatorio, </w:t>
      </w:r>
      <w:r w:rsidR="0044399B">
        <w:t xml:space="preserve">infatti, lo schema di </w:t>
      </w:r>
      <w:r w:rsidR="003923A1">
        <w:t xml:space="preserve">intesa impone alle </w:t>
      </w:r>
      <w:r>
        <w:t xml:space="preserve">ordinanze regionali </w:t>
      </w:r>
      <w:r w:rsidR="003923A1">
        <w:t xml:space="preserve">il </w:t>
      </w:r>
      <w:r w:rsidR="007D4A41">
        <w:t xml:space="preserve">rispetto </w:t>
      </w:r>
      <w:r w:rsidR="0066277F">
        <w:t xml:space="preserve">dei principi generali dell'ordinamento giuridico e delle norme dell’Unione europea. </w:t>
      </w:r>
      <w:r w:rsidR="00186935">
        <w:t xml:space="preserve">A questi due </w:t>
      </w:r>
      <w:r w:rsidR="0066277F">
        <w:t>limiti</w:t>
      </w:r>
      <w:r w:rsidR="000877B1">
        <w:t xml:space="preserve">, </w:t>
      </w:r>
      <w:r w:rsidR="0066277F">
        <w:t>che operano anche per le ordinanze statali di protezione civile</w:t>
      </w:r>
      <w:r w:rsidR="00186935">
        <w:t xml:space="preserve"> ai sensi del</w:t>
      </w:r>
      <w:r w:rsidR="0066277F">
        <w:t xml:space="preserve">l’articolo 25, comma 1, del </w:t>
      </w:r>
      <w:r w:rsidR="00186935">
        <w:t>Codice</w:t>
      </w:r>
      <w:r w:rsidR="003410B7">
        <w:t>, s</w:t>
      </w:r>
      <w:r w:rsidR="000877B1">
        <w:t>i aggiung</w:t>
      </w:r>
      <w:r w:rsidR="00F269A0">
        <w:t>e</w:t>
      </w:r>
      <w:r w:rsidR="000877B1">
        <w:t xml:space="preserve"> i</w:t>
      </w:r>
      <w:r w:rsidR="00F576A0">
        <w:t>l necessario rispetto:</w:t>
      </w:r>
    </w:p>
    <w:p w14:paraId="4E1E2B4A" w14:textId="5465731E" w:rsidR="00493149" w:rsidRDefault="008D4A21" w:rsidP="00493149">
      <w:pPr>
        <w:pStyle w:val="Paragrafoelenco"/>
        <w:numPr>
          <w:ilvl w:val="0"/>
          <w:numId w:val="25"/>
        </w:numPr>
      </w:pPr>
      <w:r>
        <w:t>dell</w:t>
      </w:r>
      <w:r w:rsidR="0077418E">
        <w:t>e disposizioni penali</w:t>
      </w:r>
      <w:r w:rsidR="00493149">
        <w:t>;</w:t>
      </w:r>
    </w:p>
    <w:p w14:paraId="709914AC" w14:textId="14165EEA" w:rsidR="00493149" w:rsidRDefault="008D4A21" w:rsidP="00493149">
      <w:pPr>
        <w:pStyle w:val="Paragrafoelenco"/>
        <w:numPr>
          <w:ilvl w:val="0"/>
          <w:numId w:val="25"/>
        </w:numPr>
      </w:pPr>
      <w:r>
        <w:t>del</w:t>
      </w:r>
      <w:r w:rsidR="0077418E">
        <w:t>le disposizioni del codice delle leggi antimafia e delle misure di prevenzione, di cui al decreto legislativo 6 settembre 2011, n. 159</w:t>
      </w:r>
      <w:r w:rsidR="00493149">
        <w:t>;</w:t>
      </w:r>
    </w:p>
    <w:p w14:paraId="6B690D48" w14:textId="7F11CD7C" w:rsidR="00A607F1" w:rsidRDefault="008D4A21" w:rsidP="00A607F1">
      <w:pPr>
        <w:pStyle w:val="Paragrafoelenco"/>
        <w:numPr>
          <w:ilvl w:val="0"/>
          <w:numId w:val="25"/>
        </w:numPr>
      </w:pPr>
      <w:r>
        <w:t>del</w:t>
      </w:r>
      <w:r w:rsidR="0077418E">
        <w:t>le disposizioni del codice della protezione civile</w:t>
      </w:r>
      <w:r w:rsidR="00A607F1">
        <w:t xml:space="preserve">. In merito, l’esigenza di salvaguardare la disciplina del codice </w:t>
      </w:r>
      <w:r w:rsidR="002E13C4">
        <w:t xml:space="preserve">deriva dalla convinzione che si tratti, da un lato, di un provvedimento che </w:t>
      </w:r>
      <w:r w:rsidR="00A607F1">
        <w:t>espr</w:t>
      </w:r>
      <w:r w:rsidR="002E13C4">
        <w:t>ime</w:t>
      </w:r>
      <w:r w:rsidR="00A607F1">
        <w:t xml:space="preserve"> principi fondamentali della materia protezione civile</w:t>
      </w:r>
      <w:r w:rsidR="002E13C4">
        <w:t xml:space="preserve"> e</w:t>
      </w:r>
      <w:r w:rsidR="00A607F1">
        <w:t xml:space="preserve">, dall’altro, </w:t>
      </w:r>
      <w:r w:rsidR="002E13C4">
        <w:t xml:space="preserve">di un provvedimento che </w:t>
      </w:r>
      <w:r w:rsidR="00FC03DD">
        <w:t xml:space="preserve">disciplina, </w:t>
      </w:r>
      <w:r w:rsidR="00A607F1">
        <w:t xml:space="preserve">specie in relazione alle attività di soccorso ed emergenziali, </w:t>
      </w:r>
      <w:r w:rsidR="00FC03DD">
        <w:t>m</w:t>
      </w:r>
      <w:r w:rsidR="00A607F1">
        <w:t xml:space="preserve">aterie di competenza esclusiva statale </w:t>
      </w:r>
      <w:r w:rsidR="00FC03DD">
        <w:t>quali “</w:t>
      </w:r>
      <w:r w:rsidR="00A607F1">
        <w:t>ordine pubblico</w:t>
      </w:r>
      <w:r w:rsidR="00FC03DD">
        <w:t>”</w:t>
      </w:r>
      <w:r w:rsidR="00A607F1">
        <w:t xml:space="preserve"> e </w:t>
      </w:r>
      <w:r w:rsidR="00FC03DD">
        <w:t>“</w:t>
      </w:r>
      <w:r w:rsidR="00A607F1">
        <w:t>sicurezza</w:t>
      </w:r>
      <w:r w:rsidR="00FC03DD">
        <w:t>”</w:t>
      </w:r>
      <w:r w:rsidR="00A607F1">
        <w:t xml:space="preserve">, afferenti a funzioni primariamente dirette a tutelare beni </w:t>
      </w:r>
      <w:r w:rsidR="00A607F1">
        <w:lastRenderedPageBreak/>
        <w:t>fondamentali, quali l'integrità fisica o psichica delle persone, la sicurezza dei possessi ed ogni altro bene che assume primaria importanza per l'esistenza stessa dell'ordinamento (cfr. Corte cost</w:t>
      </w:r>
      <w:r w:rsidR="00FC03DD">
        <w:t xml:space="preserve">ituzionale, sentenza </w:t>
      </w:r>
      <w:r w:rsidR="00A607F1">
        <w:t>n. 236 del 2020)</w:t>
      </w:r>
      <w:r w:rsidR="00FC03DD">
        <w:t>;</w:t>
      </w:r>
    </w:p>
    <w:p w14:paraId="0CFCC27A" w14:textId="4662EBA4" w:rsidR="0077418E" w:rsidRPr="00EA5B62" w:rsidRDefault="00F576A0" w:rsidP="00493149">
      <w:pPr>
        <w:pStyle w:val="Paragrafoelenco"/>
        <w:numPr>
          <w:ilvl w:val="0"/>
          <w:numId w:val="25"/>
        </w:numPr>
      </w:pPr>
      <w:r>
        <w:t xml:space="preserve">di </w:t>
      </w:r>
      <w:r w:rsidR="00D53223">
        <w:t xml:space="preserve">quanto previsto dall’intesa in commento, con </w:t>
      </w:r>
      <w:r w:rsidR="00D53223" w:rsidRPr="00EA5B62">
        <w:t>riguardo a</w:t>
      </w:r>
      <w:r w:rsidRPr="00EA5B62">
        <w:t xml:space="preserve">i successivi </w:t>
      </w:r>
      <w:r w:rsidR="00D53223" w:rsidRPr="00EA5B62">
        <w:t xml:space="preserve">articoli da </w:t>
      </w:r>
      <w:r w:rsidR="00BE62E9" w:rsidRPr="00EA5B62">
        <w:t>3</w:t>
      </w:r>
      <w:r w:rsidR="00D53223" w:rsidRPr="00EA5B62">
        <w:t xml:space="preserve"> a 6</w:t>
      </w:r>
      <w:r w:rsidR="0077418E" w:rsidRPr="00EA5B62">
        <w:t>.</w:t>
      </w:r>
    </w:p>
    <w:p w14:paraId="3423BA70" w14:textId="6A19AE77" w:rsidR="0081247A" w:rsidRPr="00965A62" w:rsidRDefault="0081247A" w:rsidP="00DE316F">
      <w:r w:rsidRPr="00965A62">
        <w:t>Posto che i poteri di ordinanza in deroga devono essere ben definiti nel contenuto, nei tempi e nelle modalità di esercizio, i</w:t>
      </w:r>
      <w:r w:rsidR="00782944" w:rsidRPr="00965A62">
        <w:t xml:space="preserve">l </w:t>
      </w:r>
      <w:r w:rsidR="00782944" w:rsidRPr="00965A62">
        <w:rPr>
          <w:b/>
          <w:bCs/>
        </w:rPr>
        <w:t>comma 2</w:t>
      </w:r>
      <w:r w:rsidR="00782944" w:rsidRPr="00965A62">
        <w:t xml:space="preserve"> precisa che le deroghe alla disciplina statale sono previste, in ogni caso, per un tempo limitato, non superiore alla durata dello stato di emergenza e, comunque, non superiore a due anni dalla deliberazione dello stato di emergenza. </w:t>
      </w:r>
      <w:r w:rsidR="00DE316F" w:rsidRPr="00965A62">
        <w:t xml:space="preserve">Un termine analogo </w:t>
      </w:r>
      <w:r w:rsidR="00965A62" w:rsidRPr="00965A62">
        <w:t xml:space="preserve">è previsto per le </w:t>
      </w:r>
      <w:r w:rsidRPr="00965A62">
        <w:t>emergenz</w:t>
      </w:r>
      <w:r w:rsidR="00965A62" w:rsidRPr="00965A62">
        <w:t>e</w:t>
      </w:r>
      <w:r w:rsidRPr="00965A62">
        <w:t xml:space="preserve"> di rilievo nazionale d</w:t>
      </w:r>
      <w:r w:rsidR="00965A62" w:rsidRPr="00965A62">
        <w:t>a</w:t>
      </w:r>
      <w:r w:rsidRPr="00965A62">
        <w:t>ll’articolo 24, comma 3, decreto legislativo n. 1 del 2018.</w:t>
      </w:r>
    </w:p>
    <w:p w14:paraId="029169CC" w14:textId="0E4608E3" w:rsidR="00E4450C" w:rsidRDefault="00C00FFC" w:rsidP="001177DC">
      <w:r w:rsidRPr="00D421F9">
        <w:t xml:space="preserve">In conseguenza dell’esigenza di evitare un’elencazione di disposizioni statali suscettibili di deroga – per quanto osservato in relazione alla riformulazione del comma 1 – si è ritenuto necessario prevedere, sul piano procedurale, un potere statale di verifica, in concreto, delle deroghe proposte dalla Regione, tenendo a tali fini conto della natura e della qualità dell’evento concretamente occorso. </w:t>
      </w:r>
      <w:r w:rsidR="00D421F9" w:rsidRPr="00D421F9">
        <w:t>A tal fine, i</w:t>
      </w:r>
      <w:r w:rsidR="001177DC" w:rsidRPr="00D421F9">
        <w:t xml:space="preserve">l </w:t>
      </w:r>
      <w:r w:rsidR="001177DC" w:rsidRPr="00D421F9">
        <w:rPr>
          <w:b/>
          <w:bCs/>
        </w:rPr>
        <w:t>comma 3</w:t>
      </w:r>
      <w:r w:rsidR="001177DC" w:rsidRPr="00D421F9">
        <w:t xml:space="preserve"> prevede che le ordinanze </w:t>
      </w:r>
      <w:r w:rsidR="00684D1D" w:rsidRPr="00D421F9">
        <w:t xml:space="preserve">regionali abbiano </w:t>
      </w:r>
      <w:r w:rsidR="001177DC" w:rsidRPr="00D421F9">
        <w:t xml:space="preserve">efficacia limitatamente al territorio regionale, </w:t>
      </w:r>
      <w:r w:rsidR="00684D1D" w:rsidRPr="00D421F9">
        <w:t xml:space="preserve">debbano essere </w:t>
      </w:r>
      <w:r w:rsidR="001177DC" w:rsidRPr="00D421F9">
        <w:t xml:space="preserve">specificamente </w:t>
      </w:r>
      <w:r w:rsidR="001177DC">
        <w:t xml:space="preserve">motivate, </w:t>
      </w:r>
      <w:r w:rsidR="00684D1D">
        <w:t xml:space="preserve">debbano </w:t>
      </w:r>
      <w:r w:rsidR="001177DC">
        <w:t>indica</w:t>
      </w:r>
      <w:r w:rsidR="00684D1D">
        <w:t>re</w:t>
      </w:r>
      <w:r w:rsidR="001177DC">
        <w:t xml:space="preserve"> espressamente le disposizioni normative che intendono derogare e </w:t>
      </w:r>
      <w:r w:rsidR="00E4450C">
        <w:t xml:space="preserve">possano essere </w:t>
      </w:r>
      <w:r w:rsidR="001177DC">
        <w:t xml:space="preserve">emanate acquisita la previa autorizzazione statale. </w:t>
      </w:r>
      <w:r w:rsidR="0057015E">
        <w:t>Viene a tal fine disciplinato un procedimento così articolato:</w:t>
      </w:r>
    </w:p>
    <w:p w14:paraId="2651C3C5" w14:textId="77777777" w:rsidR="00A50236" w:rsidRDefault="00A50236" w:rsidP="00A50236">
      <w:pPr>
        <w:pStyle w:val="Paragrafoelenco"/>
        <w:numPr>
          <w:ilvl w:val="0"/>
          <w:numId w:val="25"/>
        </w:numPr>
      </w:pPr>
      <w:r>
        <w:t>richiesta del Presidente della Regione;</w:t>
      </w:r>
    </w:p>
    <w:p w14:paraId="0AE7EFBD" w14:textId="73894BAC" w:rsidR="005A34E4" w:rsidRDefault="005A34E4" w:rsidP="00A50236">
      <w:pPr>
        <w:pStyle w:val="Paragrafoelenco"/>
        <w:numPr>
          <w:ilvl w:val="0"/>
          <w:numId w:val="25"/>
        </w:numPr>
      </w:pPr>
      <w:r>
        <w:t>proposta del Presidente del Consiglio dei ministri o dell’autorità politica delegata per la protezione civile</w:t>
      </w:r>
      <w:r w:rsidR="00506D82">
        <w:t>,</w:t>
      </w:r>
      <w:r>
        <w:t xml:space="preserve"> ove nominata</w:t>
      </w:r>
      <w:r w:rsidR="00506D82">
        <w:t>;</w:t>
      </w:r>
    </w:p>
    <w:p w14:paraId="2C842CDF" w14:textId="77777777" w:rsidR="00B9782D" w:rsidRDefault="007845B4" w:rsidP="00A50236">
      <w:pPr>
        <w:pStyle w:val="Paragrafoelenco"/>
        <w:numPr>
          <w:ilvl w:val="0"/>
          <w:numId w:val="25"/>
        </w:numPr>
      </w:pPr>
      <w:r>
        <w:t xml:space="preserve">autorizzazione all’emanazione di ordinanze di protezione civile </w:t>
      </w:r>
      <w:r w:rsidR="00B9782D">
        <w:t xml:space="preserve">in deroga alla disciplina statale rilasciata dal </w:t>
      </w:r>
      <w:r>
        <w:t xml:space="preserve">Consiglio dei </w:t>
      </w:r>
      <w:r w:rsidR="0057015E">
        <w:t>ministri</w:t>
      </w:r>
      <w:r w:rsidR="00B9782D">
        <w:t>.</w:t>
      </w:r>
    </w:p>
    <w:p w14:paraId="70D72C4A" w14:textId="016D37D9" w:rsidR="00A02902" w:rsidRDefault="00B9782D" w:rsidP="00B9782D">
      <w:r>
        <w:t xml:space="preserve">L’autorizzazione del Consiglio dei ministri, peraltro, può </w:t>
      </w:r>
      <w:r w:rsidR="0057015E">
        <w:t>stabil</w:t>
      </w:r>
      <w:r>
        <w:t>ire</w:t>
      </w:r>
      <w:r w:rsidR="00A02902">
        <w:t>, nei limiti delle misure proposte dalla Regione e avuto riguardo alla natura e alla qualità degli eventi,</w:t>
      </w:r>
      <w:r>
        <w:t xml:space="preserve"> </w:t>
      </w:r>
      <w:r w:rsidR="0057015E">
        <w:t>la durata e l’ampiezza della deroga</w:t>
      </w:r>
      <w:r w:rsidR="00A02902">
        <w:t>.</w:t>
      </w:r>
      <w:r w:rsidR="00F2451C">
        <w:t xml:space="preserve"> Lo stesso Consiglio dei ministri potrà revocare l’autorizzazione </w:t>
      </w:r>
      <w:r w:rsidR="00F44117">
        <w:t>per sopravvenuti motivi di pubblico interesse</w:t>
      </w:r>
      <w:r w:rsidR="007774CB">
        <w:t>, ovvero nel caso di mutamento della situazione di fatto non prevedibile al momento dell’adozione del provvedimento</w:t>
      </w:r>
      <w:r w:rsidR="00041979">
        <w:t>, oppure a seguito di una nuova valutazione dell’interesse pubblico originario</w:t>
      </w:r>
      <w:r w:rsidR="009050EA">
        <w:t>, ai sensi dell’</w:t>
      </w:r>
      <w:r w:rsidR="00F2451C">
        <w:t>articolo 21-</w:t>
      </w:r>
      <w:r w:rsidR="00F2451C" w:rsidRPr="00024388">
        <w:rPr>
          <w:i/>
          <w:iCs/>
        </w:rPr>
        <w:t>quinquies</w:t>
      </w:r>
      <w:r w:rsidR="00F2451C">
        <w:t xml:space="preserve"> della legge </w:t>
      </w:r>
      <w:r w:rsidR="00024388">
        <w:t>n. 241 del 1990</w:t>
      </w:r>
      <w:r w:rsidR="00F2451C">
        <w:t>.</w:t>
      </w:r>
    </w:p>
    <w:p w14:paraId="1DC8EBB8" w14:textId="28132879" w:rsidR="0057015E" w:rsidRDefault="00A02902" w:rsidP="00B9782D">
      <w:r>
        <w:t xml:space="preserve">Ricevuta la preventiva autorizzazione, le ordinanze regionali di protezione civile dovranno essere </w:t>
      </w:r>
      <w:r w:rsidR="00BA38FA">
        <w:t xml:space="preserve">comunque </w:t>
      </w:r>
      <w:r w:rsidR="0057015E">
        <w:t xml:space="preserve">tempestivamente trasmesse al </w:t>
      </w:r>
      <w:r w:rsidR="00BA38FA">
        <w:t>Governo</w:t>
      </w:r>
      <w:r w:rsidR="00F2451C">
        <w:t xml:space="preserve">. </w:t>
      </w:r>
    </w:p>
    <w:p w14:paraId="25ADDEF2" w14:textId="37325AED" w:rsidR="001177DC" w:rsidRDefault="00C20092" w:rsidP="001177DC">
      <w:r w:rsidRPr="00193A93">
        <w:t xml:space="preserve">Al fine di evitare che l’istruttoria necessaria per pervenire all’autorizzazione del Consiglio dei ministri possa pregiudicare l’effetto utile delle ordinanze regionali in deroga, </w:t>
      </w:r>
      <w:r w:rsidR="00476D83" w:rsidRPr="00193A93">
        <w:t>nei casi di gravi e comprovate ragioni di urgenza, che non consentono di attendere la deliberazione consiliare,</w:t>
      </w:r>
      <w:r w:rsidR="00193A93" w:rsidRPr="00193A93">
        <w:t xml:space="preserve"> </w:t>
      </w:r>
      <w:r w:rsidRPr="00193A93">
        <w:t>i</w:t>
      </w:r>
      <w:r w:rsidR="00193A93" w:rsidRPr="00193A93">
        <w:t xml:space="preserve">l </w:t>
      </w:r>
      <w:r w:rsidR="001177DC" w:rsidRPr="00193A93">
        <w:rPr>
          <w:b/>
          <w:bCs/>
        </w:rPr>
        <w:t>comma 4</w:t>
      </w:r>
      <w:r w:rsidR="001177DC" w:rsidRPr="00193A93">
        <w:t xml:space="preserve"> autorizza il Presidente della Regione, sentito il Capo del Dipartimento dell</w:t>
      </w:r>
      <w:r w:rsidR="001177DC">
        <w:t xml:space="preserve">a protezione civile, ad </w:t>
      </w:r>
      <w:r w:rsidR="001177DC" w:rsidRPr="00290594">
        <w:t>emanare</w:t>
      </w:r>
      <w:r w:rsidR="00E660C6" w:rsidRPr="00290594">
        <w:t xml:space="preserve">, nei limiti delle risorse di cui al successivo comma 5, terzo periodo, </w:t>
      </w:r>
      <w:r w:rsidR="001177DC" w:rsidRPr="00290594">
        <w:t xml:space="preserve">le ordinanze </w:t>
      </w:r>
      <w:r w:rsidR="000B6017" w:rsidRPr="00290594">
        <w:t>regionali</w:t>
      </w:r>
      <w:r w:rsidR="000B6017">
        <w:t xml:space="preserve"> </w:t>
      </w:r>
      <w:r w:rsidR="001177DC">
        <w:t>di protezione civile in deroga alla disciplina statale senza attendere la deliberazione del Consiglio dei ministri.</w:t>
      </w:r>
      <w:r w:rsidR="00C02254">
        <w:t xml:space="preserve"> In questo caso, però:</w:t>
      </w:r>
    </w:p>
    <w:p w14:paraId="4F99156B" w14:textId="77777777" w:rsidR="00195E1E" w:rsidRDefault="00C02254" w:rsidP="00AC06C7">
      <w:pPr>
        <w:pStyle w:val="Paragrafoelenco"/>
        <w:numPr>
          <w:ilvl w:val="0"/>
          <w:numId w:val="25"/>
        </w:numPr>
      </w:pPr>
      <w:r>
        <w:lastRenderedPageBreak/>
        <w:t>le ordinanze re</w:t>
      </w:r>
      <w:r w:rsidR="00FE6EBF">
        <w:t xml:space="preserve">gionali devono essere </w:t>
      </w:r>
      <w:r w:rsidR="00AC06C7">
        <w:t>trasmesse</w:t>
      </w:r>
      <w:r w:rsidR="00FE6EBF">
        <w:t xml:space="preserve">, il giorno stesso della loro emanazione, </w:t>
      </w:r>
      <w:r w:rsidR="00AC06C7">
        <w:t xml:space="preserve">al Presidente del Consiglio dei ministri </w:t>
      </w:r>
      <w:r w:rsidR="00FE6EBF">
        <w:t>(</w:t>
      </w:r>
      <w:r w:rsidR="00AC06C7">
        <w:t>o all’autorità politica delegata per la protezione civile ove nominata</w:t>
      </w:r>
      <w:r w:rsidR="00FE6EBF">
        <w:t>)</w:t>
      </w:r>
      <w:r w:rsidR="00195E1E">
        <w:t>;</w:t>
      </w:r>
    </w:p>
    <w:p w14:paraId="64EDE635" w14:textId="77777777" w:rsidR="00C22876" w:rsidRDefault="00195E1E" w:rsidP="00AC06C7">
      <w:pPr>
        <w:pStyle w:val="Paragrafoelenco"/>
        <w:numPr>
          <w:ilvl w:val="0"/>
          <w:numId w:val="25"/>
        </w:numPr>
      </w:pPr>
      <w:r>
        <w:t>il Presidente del Consiglio sottopone le ordinanze ricevute all’</w:t>
      </w:r>
      <w:r w:rsidR="00AC06C7">
        <w:t xml:space="preserve">approvazione </w:t>
      </w:r>
      <w:r>
        <w:t xml:space="preserve">del </w:t>
      </w:r>
      <w:r w:rsidR="00FF48CF">
        <w:t xml:space="preserve">successivo primo </w:t>
      </w:r>
      <w:r w:rsidR="00AC06C7">
        <w:t>Consiglio dei ministri</w:t>
      </w:r>
      <w:r w:rsidR="00FF48CF">
        <w:t xml:space="preserve"> e comunque, di regola, da tenersi entro </w:t>
      </w:r>
      <w:r w:rsidR="00AC06C7">
        <w:t xml:space="preserve">non oltre otto giorni dalla ricezione dell’ordinanza. </w:t>
      </w:r>
    </w:p>
    <w:p w14:paraId="4FFE439F" w14:textId="3EA8AFCC" w:rsidR="008B1AD8" w:rsidRDefault="008C51BF" w:rsidP="00C22876">
      <w:r>
        <w:t xml:space="preserve">Se il </w:t>
      </w:r>
      <w:r w:rsidR="00C22876">
        <w:t>Consiglio dei ministri nega</w:t>
      </w:r>
      <w:r>
        <w:t xml:space="preserve"> l’autorizzazione, l’ordinanza regionale cessa immediatamente di produrre effetti</w:t>
      </w:r>
      <w:r w:rsidR="00D70C2D">
        <w:t>,</w:t>
      </w:r>
      <w:r w:rsidR="008B1AD8">
        <w:t xml:space="preserve"> pur restando efficaci gli atti e i provvedimenti adottati </w:t>
      </w:r>
      <w:r w:rsidR="008B1AD8" w:rsidRPr="009A23EE">
        <w:rPr>
          <w:i/>
          <w:iCs/>
        </w:rPr>
        <w:t>medio tempore</w:t>
      </w:r>
      <w:r w:rsidR="00861A24">
        <w:t xml:space="preserve"> e facendo salvi gli effetti già prodottisi e i rapporti giuridici sorti</w:t>
      </w:r>
      <w:r w:rsidR="00861DC6">
        <w:t xml:space="preserve">; </w:t>
      </w:r>
      <w:r w:rsidR="00B157BB">
        <w:t>se invece il Consiglio dei ministri approva l’esercizio del potere di ordinanza da parte del Presidente della Regione</w:t>
      </w:r>
      <w:r w:rsidR="00803087">
        <w:t>, può comunque stabilire</w:t>
      </w:r>
      <w:r w:rsidR="00AC06C7">
        <w:t xml:space="preserve">, </w:t>
      </w:r>
      <w:r w:rsidR="00803087">
        <w:t xml:space="preserve">disponendo per </w:t>
      </w:r>
      <w:r w:rsidR="00AC06C7">
        <w:t>l’avvenire</w:t>
      </w:r>
      <w:r w:rsidR="008B1AD8">
        <w:t xml:space="preserve"> e in ogni caso nei limiti delle misure adottate dalla Regione e avuto riguardo alla natura e alla qualità degli eventi</w:t>
      </w:r>
      <w:r w:rsidR="00AC06C7">
        <w:t xml:space="preserve">, la durata e l’ampiezza della deroga. </w:t>
      </w:r>
    </w:p>
    <w:p w14:paraId="3BE898D4" w14:textId="0E5734A7" w:rsidR="00861DC6" w:rsidRDefault="00861DC6" w:rsidP="00861DC6">
      <w:r>
        <w:t xml:space="preserve">Il </w:t>
      </w:r>
      <w:r w:rsidRPr="00861DC6">
        <w:rPr>
          <w:b/>
          <w:bCs/>
        </w:rPr>
        <w:t>comma 5</w:t>
      </w:r>
      <w:r>
        <w:t xml:space="preserve"> </w:t>
      </w:r>
      <w:r w:rsidRPr="00872051">
        <w:t>prevede che le ordinanze</w:t>
      </w:r>
      <w:r w:rsidR="004242C0" w:rsidRPr="00872051">
        <w:t xml:space="preserve"> regionali di protezione civile possano anche </w:t>
      </w:r>
      <w:r w:rsidRPr="00872051">
        <w:t>disporre l’apertura di apposite contabilità speciali</w:t>
      </w:r>
      <w:r w:rsidR="004242C0" w:rsidRPr="00872051">
        <w:t>,</w:t>
      </w:r>
      <w:r w:rsidRPr="00872051">
        <w:t xml:space="preserve"> </w:t>
      </w:r>
      <w:r w:rsidR="00C567FB" w:rsidRPr="00872051">
        <w:t xml:space="preserve">presso la tesoreria </w:t>
      </w:r>
      <w:r w:rsidR="00B55281" w:rsidRPr="00872051">
        <w:t>dello Stato</w:t>
      </w:r>
      <w:r w:rsidR="00C567FB" w:rsidRPr="00872051">
        <w:t xml:space="preserve">, </w:t>
      </w:r>
      <w:r w:rsidRPr="00872051">
        <w:t>al fine di rendere più agevole l’erogazione delle risorse per l’attuazione delle misure e degli interventi volti al superamento dell’emergenza.</w:t>
      </w:r>
      <w:r w:rsidR="006D29CA" w:rsidRPr="00872051">
        <w:t xml:space="preserve"> Si rammenta che ai sensi della legge 28 marzo 1991, n. 104, </w:t>
      </w:r>
      <w:r w:rsidR="00B76D7C" w:rsidRPr="00872051">
        <w:t>l’istituto incaricato del servizio di tesoreria statale è la Banca d’Italia</w:t>
      </w:r>
      <w:r w:rsidR="00FC5C54" w:rsidRPr="00872051">
        <w:t xml:space="preserve"> e </w:t>
      </w:r>
      <w:r w:rsidR="006D29CA" w:rsidRPr="00872051">
        <w:t xml:space="preserve">l’apertura di contabilità speciali può avvenire esclusivamente </w:t>
      </w:r>
      <w:r w:rsidR="00B76D7C" w:rsidRPr="00872051">
        <w:t xml:space="preserve">presso </w:t>
      </w:r>
      <w:r w:rsidR="00FC5C54" w:rsidRPr="00872051">
        <w:t>questo istituto.</w:t>
      </w:r>
      <w:r w:rsidR="00C567FB" w:rsidRPr="00872051">
        <w:t xml:space="preserve"> </w:t>
      </w:r>
      <w:r w:rsidR="00E32CDE" w:rsidRPr="00872051">
        <w:t xml:space="preserve">Il comma 5, inoltre, </w:t>
      </w:r>
      <w:r w:rsidR="00F21541" w:rsidRPr="00872051">
        <w:t xml:space="preserve">precisa che </w:t>
      </w:r>
      <w:r w:rsidR="005D2C8E" w:rsidRPr="00872051">
        <w:t xml:space="preserve">il finanziamento delle </w:t>
      </w:r>
      <w:r w:rsidR="00F21541" w:rsidRPr="00872051">
        <w:t xml:space="preserve">ordinanze regionali </w:t>
      </w:r>
      <w:r w:rsidR="005D2C8E" w:rsidRPr="00872051">
        <w:t xml:space="preserve">avviene con oneri a carico della quota parte </w:t>
      </w:r>
      <w:r w:rsidR="00A417FE" w:rsidRPr="00872051">
        <w:t xml:space="preserve">del fondo regionale </w:t>
      </w:r>
      <w:r w:rsidR="00E42697" w:rsidRPr="00872051">
        <w:t xml:space="preserve">di protezione civile </w:t>
      </w:r>
      <w:r w:rsidR="001A0906" w:rsidRPr="00872051">
        <w:t>a disposizione della Lombardia</w:t>
      </w:r>
      <w:r w:rsidR="00E42697" w:rsidRPr="00872051">
        <w:t xml:space="preserve">, oltre che a valere </w:t>
      </w:r>
      <w:r w:rsidR="00966176" w:rsidRPr="00872051">
        <w:t xml:space="preserve">sulle </w:t>
      </w:r>
      <w:r w:rsidR="00321393" w:rsidRPr="00872051">
        <w:t>risorse regionali allo scopo</w:t>
      </w:r>
      <w:r w:rsidR="00CD3163" w:rsidRPr="00872051">
        <w:t xml:space="preserve"> destinate</w:t>
      </w:r>
      <w:r w:rsidR="00A86CD8" w:rsidRPr="00872051">
        <w:t xml:space="preserve"> e prevede che la Regione si impegni a predisporre cronoprogrammi, mensilmente aggiornati</w:t>
      </w:r>
      <w:r w:rsidR="007A2354" w:rsidRPr="00872051">
        <w:t>, relativi all’utilizzo della contabilità speciale</w:t>
      </w:r>
      <w:r w:rsidR="00E32CDE" w:rsidRPr="00872051">
        <w:t xml:space="preserve">. </w:t>
      </w:r>
      <w:r w:rsidR="00B55F4C" w:rsidRPr="00872051">
        <w:t>I crono</w:t>
      </w:r>
      <w:r w:rsidR="006544EF" w:rsidRPr="00872051">
        <w:t xml:space="preserve">programmi sono trasmessi alla Commissione paritetica di cui all’articolo </w:t>
      </w:r>
      <w:r w:rsidR="003F0AFE" w:rsidRPr="00872051">
        <w:t>11</w:t>
      </w:r>
      <w:r w:rsidR="006544EF" w:rsidRPr="00872051">
        <w:t xml:space="preserve">. </w:t>
      </w:r>
      <w:r w:rsidR="00780C0A" w:rsidRPr="00872051">
        <w:t>L</w:t>
      </w:r>
      <w:r w:rsidR="00C567FB" w:rsidRPr="00872051">
        <w:t>a disposizione</w:t>
      </w:r>
      <w:r w:rsidR="00C567FB" w:rsidRPr="00D2183D">
        <w:t xml:space="preserve"> fissa in 48 mesi il periodo massimo di durata della contabilità speciale</w:t>
      </w:r>
      <w:r w:rsidR="00000279" w:rsidRPr="00D2183D">
        <w:t xml:space="preserve"> e rinvia, in quanto compatibile, all</w:t>
      </w:r>
      <w:r w:rsidR="00946397" w:rsidRPr="00D2183D">
        <w:t>a disciplina dell</w:t>
      </w:r>
      <w:r w:rsidR="004B0D21" w:rsidRPr="00D2183D">
        <w:t>e contabilità speciali per la gestione delle emergenze di rilievo nazionale di cui all’a</w:t>
      </w:r>
      <w:r w:rsidR="00000279" w:rsidRPr="00D2183D">
        <w:t>rticolo 27 del Codice di protezione civile</w:t>
      </w:r>
      <w:r w:rsidR="00A610F5" w:rsidRPr="00D2183D">
        <w:t xml:space="preserve">, ivi compresa la disciplina </w:t>
      </w:r>
      <w:r w:rsidR="00A610F5" w:rsidRPr="005B5F51">
        <w:t xml:space="preserve">dei relativi controlli, </w:t>
      </w:r>
      <w:r w:rsidR="00630599" w:rsidRPr="005B5F51">
        <w:t>inclusi quelli svolti dal Ministero dell’economia e delle finanze e dalla Corte dei conti</w:t>
      </w:r>
      <w:r w:rsidR="00000279" w:rsidRPr="005B5F51">
        <w:t>.</w:t>
      </w:r>
      <w:r w:rsidR="00000279">
        <w:t xml:space="preserve"> </w:t>
      </w:r>
    </w:p>
    <w:p w14:paraId="4AE52A32" w14:textId="34A623D3" w:rsidR="000E4669" w:rsidRDefault="001177DC" w:rsidP="001177DC">
      <w:r>
        <w:t xml:space="preserve">La disciplina dei tempi e delle procedure istruttorie propedeutiche alla deliberazione di autorizzazione o approvazione da parte del Consiglio dei ministri delle ordinanze </w:t>
      </w:r>
      <w:r w:rsidR="00592979">
        <w:t>regionali di protezione civile che derogano alla disciplina statale</w:t>
      </w:r>
      <w:r w:rsidR="001A0B88">
        <w:t xml:space="preserve">, </w:t>
      </w:r>
      <w:r>
        <w:t xml:space="preserve">e </w:t>
      </w:r>
      <w:r w:rsidR="004C3C8F">
        <w:t>de</w:t>
      </w:r>
      <w:r>
        <w:t>i relativi adempimenti di competenza de</w:t>
      </w:r>
      <w:r w:rsidR="00C6625B">
        <w:t xml:space="preserve">l </w:t>
      </w:r>
      <w:r>
        <w:t>President</w:t>
      </w:r>
      <w:r w:rsidR="00C6625B">
        <w:t>e della Regione</w:t>
      </w:r>
      <w:r w:rsidR="005E1E37">
        <w:t xml:space="preserve">, </w:t>
      </w:r>
      <w:r w:rsidR="004C3C8F">
        <w:t xml:space="preserve">è </w:t>
      </w:r>
      <w:r w:rsidR="005E1E37">
        <w:t>demandat</w:t>
      </w:r>
      <w:r w:rsidR="004C3C8F">
        <w:t>a</w:t>
      </w:r>
      <w:r w:rsidR="005E1E37">
        <w:t xml:space="preserve"> a una direttiva</w:t>
      </w:r>
      <w:r w:rsidR="00793B0C">
        <w:t xml:space="preserve"> del Presidente del Consiglio dei ministri</w:t>
      </w:r>
      <w:r w:rsidR="005E1E37">
        <w:t xml:space="preserve">. Così dispone il </w:t>
      </w:r>
      <w:r w:rsidR="005E1E37" w:rsidRPr="004C3C8F">
        <w:rPr>
          <w:b/>
          <w:bCs/>
        </w:rPr>
        <w:t>comma 6</w:t>
      </w:r>
      <w:r w:rsidR="00793B0C">
        <w:t xml:space="preserve">, </w:t>
      </w:r>
      <w:r w:rsidR="000E4669">
        <w:t>richiamando l</w:t>
      </w:r>
      <w:r w:rsidR="00793B0C">
        <w:t>’articolo 15 del Codice di protezione civile</w:t>
      </w:r>
      <w:r w:rsidR="000E4669">
        <w:t>.</w:t>
      </w:r>
    </w:p>
    <w:p w14:paraId="7878EBE4" w14:textId="1F444383" w:rsidR="004A742E" w:rsidRDefault="004C3C8F" w:rsidP="004A742E">
      <w:r>
        <w:t xml:space="preserve">Analogamente, il </w:t>
      </w:r>
      <w:r w:rsidRPr="00C21492">
        <w:rPr>
          <w:b/>
          <w:bCs/>
        </w:rPr>
        <w:t>comma 7</w:t>
      </w:r>
      <w:r>
        <w:t xml:space="preserve"> prevede una </w:t>
      </w:r>
      <w:r w:rsidR="00EF425D">
        <w:t>direttiva del Presidente del Consiglio, adottata di concerto con i ministri interessati</w:t>
      </w:r>
      <w:r w:rsidR="00B735F8">
        <w:t xml:space="preserve">, </w:t>
      </w:r>
      <w:r w:rsidR="00C21492">
        <w:t xml:space="preserve">previa intesa della Regione </w:t>
      </w:r>
      <w:r w:rsidR="00B735F8">
        <w:t xml:space="preserve">e previa consultazione delle </w:t>
      </w:r>
      <w:r w:rsidR="00592979" w:rsidRPr="00EA5B62">
        <w:t>componenti</w:t>
      </w:r>
      <w:r w:rsidR="00592979">
        <w:t xml:space="preserve"> e strutture operative nazionali </w:t>
      </w:r>
      <w:r w:rsidR="00592979" w:rsidRPr="00872051">
        <w:t xml:space="preserve">interessate, </w:t>
      </w:r>
      <w:r w:rsidR="005372D3" w:rsidRPr="00872051">
        <w:t xml:space="preserve">per l’individuazione di </w:t>
      </w:r>
      <w:r w:rsidR="00592979" w:rsidRPr="00872051">
        <w:t>linee guida non vincolanti</w:t>
      </w:r>
      <w:r w:rsidR="005372D3" w:rsidRPr="00872051">
        <w:t xml:space="preserve"> </w:t>
      </w:r>
      <w:r w:rsidR="00592979" w:rsidRPr="00872051">
        <w:t xml:space="preserve">finalizzate all’individuazione delle disposizioni statali di prassi derogabili </w:t>
      </w:r>
      <w:r w:rsidR="005372D3" w:rsidRPr="00872051">
        <w:t xml:space="preserve">dalla Regione </w:t>
      </w:r>
      <w:r w:rsidR="00592979" w:rsidRPr="00872051">
        <w:t>in regime di emergenza.</w:t>
      </w:r>
      <w:r w:rsidR="00B03BE0" w:rsidRPr="00872051">
        <w:t xml:space="preserve"> </w:t>
      </w:r>
      <w:r w:rsidR="008338DE" w:rsidRPr="00872051">
        <w:t>La finalità di questa disposizione è quella</w:t>
      </w:r>
      <w:r w:rsidR="008338DE">
        <w:t xml:space="preserve"> di </w:t>
      </w:r>
      <w:r w:rsidR="00C9452F">
        <w:t>delineare</w:t>
      </w:r>
      <w:r w:rsidR="004A742E">
        <w:t>, nel confronto con la regione interessata,</w:t>
      </w:r>
      <w:r w:rsidR="00C9452F">
        <w:t xml:space="preserve"> una sorta di catalogo di disposizioni normative statali</w:t>
      </w:r>
      <w:r w:rsidR="00B3189D">
        <w:t xml:space="preserve"> in astratto derogabili</w:t>
      </w:r>
      <w:r w:rsidR="004A742E">
        <w:t xml:space="preserve">, al fine di semplificare non solo la stesura delle ordinanze regionali di </w:t>
      </w:r>
      <w:r w:rsidR="004A742E">
        <w:lastRenderedPageBreak/>
        <w:t xml:space="preserve">protezione civile ma anche la loro valutazione da parte del Consiglio dei ministri chiamato ad autorizzarle. </w:t>
      </w:r>
      <w:r w:rsidR="006933EF">
        <w:t>Si anticipa sin d’ora, peraltro, che qualora la deroga alle disposizioni statali</w:t>
      </w:r>
      <w:r w:rsidR="001B3701">
        <w:t xml:space="preserve"> riguardi funzioni che attengono a prestazioni concernenti i diritti civili e sociali, rimane ferma la necessità di determinare previamente i relativi livelli essenziali delle prestazioni. Tale cautela, in ottemperanza alla sentenza n. 192 del 2024 della Corte costituzionale, è prevista dall’articolo 6 dell’intesa.</w:t>
      </w:r>
    </w:p>
    <w:p w14:paraId="4C6A3E39" w14:textId="3D0FAF8D" w:rsidR="007966C3" w:rsidRPr="002318C8" w:rsidRDefault="002318C8" w:rsidP="007966C3">
      <w:r w:rsidRPr="002318C8">
        <w:t>In sintesi dunque, q</w:t>
      </w:r>
      <w:r w:rsidR="007966C3" w:rsidRPr="002318C8">
        <w:t>uanto al potere regionale di derogare la normativa statale</w:t>
      </w:r>
      <w:r w:rsidRPr="002318C8">
        <w:t>,</w:t>
      </w:r>
      <w:r w:rsidR="007966C3" w:rsidRPr="002318C8">
        <w:t xml:space="preserve"> si evidenzia come l</w:t>
      </w:r>
      <w:r w:rsidRPr="002318C8">
        <w:t xml:space="preserve">o schema di intesa </w:t>
      </w:r>
      <w:r w:rsidR="007966C3" w:rsidRPr="002318C8">
        <w:t xml:space="preserve">preveda un’autolimitazione dell’applicazione di disposizioni statali in relazione ad alcuni contesti regionali e al ricorrere di specifici presupposti sostanziali e procedurali: non viene, in altri termini, costituita una fonte normativa regionale in relazione ad ambiti pure riconducibili a materie di competenza esclusiva statale (si pensi alle deroghe alle disposizioni di tutela ambientale e dei beni culturali) – il che sarebbe stato di dubbia compatibilità con la disciplina dell’articolo 117, </w:t>
      </w:r>
      <w:r w:rsidR="0032669F">
        <w:t xml:space="preserve">secondo </w:t>
      </w:r>
      <w:r w:rsidR="007966C3" w:rsidRPr="002318C8">
        <w:t>comma, Cost., che legittima soltanto lo Stato a legiferare sulle materie di competenza esclusiva statale -, ma si autorizza la Regione, al ricorrere di detti presupposti, a porre in essere atti amministrativi derogatori per fronteggiare situazioni emergenziali eccezionali.</w:t>
      </w:r>
    </w:p>
    <w:p w14:paraId="3F12B9AF" w14:textId="77777777" w:rsidR="007966C3" w:rsidRDefault="007966C3" w:rsidP="0076077E"/>
    <w:p w14:paraId="416E6945" w14:textId="08F7FFCB" w:rsidR="00592979" w:rsidRPr="00354E9D" w:rsidRDefault="000E34AB" w:rsidP="0076077E">
      <w:r>
        <w:t>L’</w:t>
      </w:r>
      <w:r w:rsidRPr="003C3C4D">
        <w:rPr>
          <w:b/>
          <w:bCs/>
        </w:rPr>
        <w:t xml:space="preserve">articolo 3 </w:t>
      </w:r>
      <w:r w:rsidR="003C3C4D">
        <w:t xml:space="preserve">è volto </w:t>
      </w:r>
      <w:r w:rsidR="003C3C4D" w:rsidRPr="00354E9D">
        <w:t>ad a</w:t>
      </w:r>
      <w:r w:rsidR="002E53D8" w:rsidRPr="00354E9D">
        <w:t>ttribuire al Presidente della Regione il ruolo di commissario delegato per la gestione dell’emergenza di rilievo nazionale che interessa il territorio della regione.</w:t>
      </w:r>
    </w:p>
    <w:p w14:paraId="1353E4B9" w14:textId="65C1B409" w:rsidR="00F51E08" w:rsidRDefault="004540AB" w:rsidP="0076077E">
      <w:r>
        <w:t xml:space="preserve">Come si evince dalla rubrica dell’articolo, </w:t>
      </w:r>
      <w:r w:rsidR="00CC46AE">
        <w:t xml:space="preserve">questa funzione ha ad oggetto gli </w:t>
      </w:r>
      <w:r w:rsidR="00F51E08" w:rsidRPr="00F12A4E">
        <w:t>eventi calamitosi che devono essere fronteggiati a livello nazionale</w:t>
      </w:r>
      <w:r w:rsidR="00E94BC9">
        <w:t xml:space="preserve">, ai sensi dell’articolo </w:t>
      </w:r>
      <w:r w:rsidR="00F51E08" w:rsidRPr="00F12A4E">
        <w:t>7, co</w:t>
      </w:r>
      <w:r w:rsidR="00E94BC9">
        <w:t>mma</w:t>
      </w:r>
      <w:r w:rsidR="00F51E08" w:rsidRPr="00F12A4E">
        <w:t xml:space="preserve"> 1, lett</w:t>
      </w:r>
      <w:r w:rsidR="00E94BC9">
        <w:t xml:space="preserve">era </w:t>
      </w:r>
      <w:r w:rsidR="00F51E08" w:rsidRPr="00E94BC9">
        <w:rPr>
          <w:i/>
          <w:iCs/>
        </w:rPr>
        <w:t>c)</w:t>
      </w:r>
      <w:r w:rsidR="00E94BC9">
        <w:t xml:space="preserve"> del Codice</w:t>
      </w:r>
      <w:r w:rsidR="00B0008E">
        <w:t xml:space="preserve">, </w:t>
      </w:r>
      <w:r w:rsidR="00A41FA0">
        <w:t>a causa della loro gravità e intensità</w:t>
      </w:r>
      <w:r w:rsidR="00033FAE">
        <w:t xml:space="preserve">, pur interessando, da un punto di vista </w:t>
      </w:r>
      <w:r w:rsidR="00033FAE" w:rsidRPr="00EA5B62">
        <w:t>geografico</w:t>
      </w:r>
      <w:r w:rsidR="00033FAE">
        <w:t xml:space="preserve">, esclusivamente il territorio della regione. </w:t>
      </w:r>
    </w:p>
    <w:p w14:paraId="45639F68" w14:textId="77777777" w:rsidR="003A4E58" w:rsidRDefault="00A2489C" w:rsidP="0076077E">
      <w:r>
        <w:t xml:space="preserve">In questi casi, il </w:t>
      </w:r>
      <w:r w:rsidRPr="00A540A3">
        <w:rPr>
          <w:b/>
          <w:bCs/>
        </w:rPr>
        <w:t>comma 1</w:t>
      </w:r>
      <w:r>
        <w:t xml:space="preserve"> della disposizione prescrive che </w:t>
      </w:r>
      <w:r w:rsidR="009131B6">
        <w:t>il ruolo di commissario delegato</w:t>
      </w:r>
      <w:r w:rsidR="007B2EB2">
        <w:t xml:space="preserve"> </w:t>
      </w:r>
      <w:r w:rsidR="009131B6">
        <w:t xml:space="preserve">per la gestione dell’emergenza nazionale debba essere attribuito </w:t>
      </w:r>
      <w:r w:rsidR="00D929D0">
        <w:t xml:space="preserve">dal Capo del Dipartimento della protezione civile </w:t>
      </w:r>
      <w:r w:rsidR="009131B6">
        <w:t>al Presidente della Regione</w:t>
      </w:r>
      <w:r w:rsidR="009C3751">
        <w:t>,</w:t>
      </w:r>
      <w:r w:rsidR="00794399">
        <w:t xml:space="preserve"> ovvero a una persona indicata dal Presidente. Solo </w:t>
      </w:r>
      <w:r w:rsidR="00406F7D">
        <w:t>in quest’ultimo caso, ovvero quando il Presidente non ritenga di svolgere personalmente la funzione</w:t>
      </w:r>
      <w:r w:rsidR="00733B65">
        <w:t xml:space="preserve">, è richiesta la previa intesa con il Capo del Dipartimento. </w:t>
      </w:r>
    </w:p>
    <w:p w14:paraId="12C45E2B" w14:textId="3765D50E" w:rsidR="00A540A3" w:rsidRPr="003177F9" w:rsidRDefault="00733B65" w:rsidP="0076077E">
      <w:r>
        <w:t>Tale cautela è apparsa opportuna in considerazione del delicato ruolo che il commissario delegato</w:t>
      </w:r>
      <w:r w:rsidR="007D3F65">
        <w:t xml:space="preserve"> deve svolgere</w:t>
      </w:r>
      <w:r w:rsidR="00A540A3">
        <w:t>.</w:t>
      </w:r>
      <w:r w:rsidR="003A4E58">
        <w:t xml:space="preserve"> </w:t>
      </w:r>
      <w:r w:rsidR="00A540A3">
        <w:t>Si rammenta, infatti, che in base all’articolo 25, comma 7, del Codice d</w:t>
      </w:r>
      <w:r w:rsidR="003358EF">
        <w:t>ella</w:t>
      </w:r>
      <w:r w:rsidR="00A540A3">
        <w:t xml:space="preserve"> protezione </w:t>
      </w:r>
      <w:r w:rsidR="003358EF">
        <w:t>civile, p</w:t>
      </w:r>
      <w:r w:rsidR="003358EF" w:rsidRPr="003358EF">
        <w:t xml:space="preserve">er coordinare l'attuazione delle ordinanze di protezione civile, </w:t>
      </w:r>
      <w:r w:rsidR="00E21216">
        <w:t xml:space="preserve">le medesime ordinanze </w:t>
      </w:r>
      <w:r w:rsidR="003358EF" w:rsidRPr="003358EF">
        <w:t xml:space="preserve">possono </w:t>
      </w:r>
      <w:r w:rsidR="00E21216">
        <w:t xml:space="preserve">prevedere la </w:t>
      </w:r>
      <w:r w:rsidR="003358EF" w:rsidRPr="003358EF">
        <w:t>nomina</w:t>
      </w:r>
      <w:r w:rsidR="00E21216">
        <w:t xml:space="preserve"> di </w:t>
      </w:r>
      <w:r w:rsidR="003358EF" w:rsidRPr="003358EF">
        <w:t>commissari delegati che operano in regime straordinario fino alla scadenza dello stato di emergenza di rilievo nazionale.</w:t>
      </w:r>
      <w:r w:rsidR="00536990">
        <w:t xml:space="preserve"> </w:t>
      </w:r>
      <w:r w:rsidR="00BB3BEC">
        <w:t xml:space="preserve">La medesima </w:t>
      </w:r>
      <w:r w:rsidR="00BB3BEC" w:rsidRPr="00D2183D">
        <w:t>disposizione precisa che «q</w:t>
      </w:r>
      <w:r w:rsidR="003358EF" w:rsidRPr="00D2183D">
        <w:t xml:space="preserve">ualora il Capo del Dipartimento si avvalga di commissari delegati, il relativo provvedimento di nomina deve specificare il contenuto dell'incarico, i tempi e le modalità del suo esercizio. I commissari delegati sono scelti, tranne motivate eccezioni, tra </w:t>
      </w:r>
      <w:r w:rsidR="003358EF" w:rsidRPr="003177F9">
        <w:t>i soggetti per cui la legge non prevede alcun compenso per lo svolgimento dell'incarico».</w:t>
      </w:r>
      <w:r w:rsidR="00153946" w:rsidRPr="003177F9">
        <w:t xml:space="preserve"> </w:t>
      </w:r>
      <w:r w:rsidR="00800371" w:rsidRPr="003177F9">
        <w:t>Analogamente a quanto previsto dal codice di protezione civile, l</w:t>
      </w:r>
      <w:r w:rsidR="00AD6F9E" w:rsidRPr="003177F9">
        <w:t xml:space="preserve">a previsione in base alla quale l’esercizio delle funzioni </w:t>
      </w:r>
      <w:r w:rsidR="003D5BAF" w:rsidRPr="003177F9">
        <w:t>connesse alla gestione delle emergenze nazionali non comporta compensi è</w:t>
      </w:r>
      <w:r w:rsidR="009E2619" w:rsidRPr="003177F9">
        <w:t xml:space="preserve"> inserita anche all’articolo 3 dell’intesa.</w:t>
      </w:r>
    </w:p>
    <w:p w14:paraId="2D268643" w14:textId="77777777" w:rsidR="0076077E" w:rsidRPr="00D2183D" w:rsidRDefault="0076077E" w:rsidP="0076077E"/>
    <w:p w14:paraId="32DD6940" w14:textId="5BC3114F" w:rsidR="0076077E" w:rsidRDefault="0061738F" w:rsidP="0091701C">
      <w:r w:rsidRPr="00D2183D">
        <w:t>L’</w:t>
      </w:r>
      <w:r w:rsidRPr="00D2183D">
        <w:rPr>
          <w:b/>
          <w:bCs/>
        </w:rPr>
        <w:t>articolo 4</w:t>
      </w:r>
      <w:r w:rsidRPr="00D2183D">
        <w:t xml:space="preserve"> elenca </w:t>
      </w:r>
      <w:r>
        <w:t xml:space="preserve">ulteriori specifiche funzioni relative alla materia “Protezione civile” il cui esercizio è attribuito alla </w:t>
      </w:r>
      <w:r w:rsidR="00914A12">
        <w:t xml:space="preserve">Regione. </w:t>
      </w:r>
      <w:r w:rsidR="0091701C">
        <w:t xml:space="preserve">Si tratta in particolare di consentire alla Regione di procedere al reclutamento, anche d’urgenza e in deroga alla disciplina statale, di personale regionale addetto alle funzioni di protezione civile e di </w:t>
      </w:r>
      <w:r w:rsidR="00DA5EA3">
        <w:t xml:space="preserve">attribuirle inoltre </w:t>
      </w:r>
      <w:r w:rsidR="0091701C">
        <w:t>le funzioni di formazione degli operatori di protezione civile, mediante la disciplina dei percorsi formativi, l’individuazione e il riconoscimento degli enti erogatori della formazione, la previsione dei sistemi di credito e l’individuazione dei docenti.</w:t>
      </w:r>
    </w:p>
    <w:p w14:paraId="7714DD32" w14:textId="3C6B4410" w:rsidR="000B04C6" w:rsidRDefault="00DA5EA3" w:rsidP="000B04C6">
      <w:r>
        <w:t xml:space="preserve">Più nel dettaglio, il </w:t>
      </w:r>
      <w:r w:rsidRPr="00F051B5">
        <w:rPr>
          <w:b/>
          <w:bCs/>
        </w:rPr>
        <w:t>comma 1</w:t>
      </w:r>
      <w:r w:rsidR="00CD578F">
        <w:t xml:space="preserve">, </w:t>
      </w:r>
      <w:r w:rsidR="00CD578F" w:rsidRPr="00CD578F">
        <w:rPr>
          <w:b/>
          <w:bCs/>
        </w:rPr>
        <w:t xml:space="preserve">lettera </w:t>
      </w:r>
      <w:r w:rsidR="00CD578F" w:rsidRPr="00CD578F">
        <w:rPr>
          <w:b/>
          <w:bCs/>
          <w:i/>
          <w:iCs/>
        </w:rPr>
        <w:t>a)</w:t>
      </w:r>
      <w:r w:rsidR="00CD578F">
        <w:t xml:space="preserve">, </w:t>
      </w:r>
      <w:r>
        <w:t>prevede l’attribuzione alla Regione d</w:t>
      </w:r>
      <w:r w:rsidR="00F051B5">
        <w:t xml:space="preserve">i potestà normativa e amministrativa </w:t>
      </w:r>
      <w:r w:rsidR="00CD578F">
        <w:t xml:space="preserve">in materia di “Protezione civile”, con riferimento all’esercizio della </w:t>
      </w:r>
      <w:r w:rsidR="00CD578F" w:rsidRPr="000900A8">
        <w:rPr>
          <w:b/>
          <w:bCs/>
        </w:rPr>
        <w:t>funzione di reclutamento</w:t>
      </w:r>
      <w:r w:rsidR="00516242" w:rsidRPr="000900A8">
        <w:rPr>
          <w:b/>
          <w:bCs/>
        </w:rPr>
        <w:t xml:space="preserve"> e assunzione</w:t>
      </w:r>
      <w:r w:rsidR="008C5759" w:rsidRPr="000900A8">
        <w:rPr>
          <w:b/>
          <w:bCs/>
        </w:rPr>
        <w:t xml:space="preserve"> a tempo determinato</w:t>
      </w:r>
      <w:r w:rsidR="008C5759">
        <w:t xml:space="preserve"> di personale regionale addetto alle funzioni di protezione civile. </w:t>
      </w:r>
      <w:r w:rsidR="00692787">
        <w:t xml:space="preserve">Si tratta del personale </w:t>
      </w:r>
      <w:r w:rsidR="000B04C6">
        <w:t xml:space="preserve">a cui si riferisce l’articolo 6, comma 1, lettera </w:t>
      </w:r>
      <w:r w:rsidR="000B04C6" w:rsidRPr="001A23F4">
        <w:rPr>
          <w:i/>
          <w:iCs/>
        </w:rPr>
        <w:t>d)</w:t>
      </w:r>
      <w:r w:rsidR="000B04C6">
        <w:t xml:space="preserve"> del Codice, </w:t>
      </w:r>
      <w:r w:rsidR="00206A28">
        <w:t xml:space="preserve">quando attribuisce alle </w:t>
      </w:r>
      <w:r w:rsidR="000B04C6" w:rsidRPr="001A23F4">
        <w:t xml:space="preserve">autorità territoriali di protezione civile </w:t>
      </w:r>
      <w:r w:rsidR="00206A28">
        <w:t xml:space="preserve">la responsabilità </w:t>
      </w:r>
      <w:r w:rsidR="000B04C6">
        <w:t>«</w:t>
      </w:r>
      <w:r w:rsidR="000B04C6" w:rsidRPr="001A23F4">
        <w:t>dell'articolazione delle strutture organizzative preposte all'esercizio delle funzioni di protezione civile di propria competenza e dell'attribuzione, alle medesime strutture, di personale adeguato e munito di specifiche professionalità, anche con riferimento alle attività di presidio delle sale operative, della rete dei centri funzionali nonché allo svolgimento delle attività dei presidi territoriali».</w:t>
      </w:r>
    </w:p>
    <w:p w14:paraId="355FB179" w14:textId="77777777" w:rsidR="000858CA" w:rsidRPr="003177F9" w:rsidRDefault="00C03190" w:rsidP="00CD578F">
      <w:r w:rsidRPr="00D2183D">
        <w:t>Per l</w:t>
      </w:r>
      <w:r w:rsidR="00351007" w:rsidRPr="00D2183D">
        <w:t>’esercizio di questa funzione</w:t>
      </w:r>
      <w:r w:rsidR="00206A28" w:rsidRPr="00D2183D">
        <w:t xml:space="preserve"> di reclutamento e assunzione</w:t>
      </w:r>
      <w:r w:rsidR="00721DFB" w:rsidRPr="00D2183D">
        <w:t>, in caso di necessità e urgenza,</w:t>
      </w:r>
      <w:r w:rsidR="00351007" w:rsidRPr="00D2183D">
        <w:t xml:space="preserve"> </w:t>
      </w:r>
      <w:r w:rsidR="000F4EC5" w:rsidRPr="00D2183D">
        <w:t xml:space="preserve">la Regione </w:t>
      </w:r>
      <w:r w:rsidR="00351007" w:rsidRPr="00D2183D">
        <w:t>potr</w:t>
      </w:r>
      <w:r w:rsidR="000F4EC5" w:rsidRPr="00D2183D">
        <w:t xml:space="preserve">à </w:t>
      </w:r>
      <w:r w:rsidRPr="00D2183D">
        <w:t>attiva</w:t>
      </w:r>
      <w:r w:rsidR="000F4EC5" w:rsidRPr="00D2183D">
        <w:t>re</w:t>
      </w:r>
      <w:r w:rsidRPr="00D2183D">
        <w:t xml:space="preserve"> </w:t>
      </w:r>
      <w:r w:rsidR="00351007" w:rsidRPr="00D2183D">
        <w:t>procedure d’urgenza</w:t>
      </w:r>
      <w:r w:rsidRPr="00D2183D">
        <w:t xml:space="preserve"> e potrà </w:t>
      </w:r>
      <w:r w:rsidR="0040574A" w:rsidRPr="00D2183D">
        <w:t xml:space="preserve">operare in </w:t>
      </w:r>
      <w:r w:rsidR="0040574A" w:rsidRPr="003177F9">
        <w:t>deroga a</w:t>
      </w:r>
      <w:r w:rsidR="000858CA" w:rsidRPr="003177F9">
        <w:t>lle seguenti disposizioni:</w:t>
      </w:r>
      <w:r w:rsidR="0040574A" w:rsidRPr="003177F9">
        <w:t xml:space="preserve"> </w:t>
      </w:r>
    </w:p>
    <w:p w14:paraId="033F9242" w14:textId="3DEE1214" w:rsidR="00045608" w:rsidRPr="00D2183D" w:rsidRDefault="0040574A" w:rsidP="000858CA">
      <w:pPr>
        <w:pStyle w:val="Paragrafoelenco"/>
        <w:numPr>
          <w:ilvl w:val="0"/>
          <w:numId w:val="25"/>
        </w:numPr>
      </w:pPr>
      <w:r w:rsidRPr="00D2183D">
        <w:t>articolo 35, comma 4, del TU pubblico impiego (d.lgs. n. 165 del 2001)</w:t>
      </w:r>
      <w:r w:rsidR="00045608" w:rsidRPr="00D2183D">
        <w:t>;</w:t>
      </w:r>
    </w:p>
    <w:p w14:paraId="615BBA50" w14:textId="3C130E3E" w:rsidR="0041774F" w:rsidRPr="005C52AE" w:rsidRDefault="00045608" w:rsidP="000858CA">
      <w:pPr>
        <w:pStyle w:val="Paragrafoelenco"/>
        <w:numPr>
          <w:ilvl w:val="0"/>
          <w:numId w:val="25"/>
        </w:numPr>
      </w:pPr>
      <w:r w:rsidRPr="005C52AE">
        <w:t>articolo 33 del D.L</w:t>
      </w:r>
      <w:r w:rsidR="0041774F" w:rsidRPr="005C52AE">
        <w:t xml:space="preserve"> n. 34 del 2019</w:t>
      </w:r>
      <w:r w:rsidR="00334F50" w:rsidRPr="005C52AE">
        <w:t>, in materia di assunzione di personale nelle regioni a statuto ordinario e nei comuni in base alla sostenibilità finanziaria</w:t>
      </w:r>
      <w:r w:rsidR="0041774F" w:rsidRPr="005C52AE">
        <w:t>;</w:t>
      </w:r>
    </w:p>
    <w:p w14:paraId="148307B0" w14:textId="514B5FD0" w:rsidR="00D53C08" w:rsidRPr="005C52AE" w:rsidRDefault="0041774F" w:rsidP="000858CA">
      <w:pPr>
        <w:pStyle w:val="Paragrafoelenco"/>
        <w:numPr>
          <w:ilvl w:val="0"/>
          <w:numId w:val="25"/>
        </w:numPr>
      </w:pPr>
      <w:r w:rsidRPr="005C52AE">
        <w:t xml:space="preserve">articolo </w:t>
      </w:r>
      <w:r w:rsidR="00334F50" w:rsidRPr="005C52AE">
        <w:t>1</w:t>
      </w:r>
      <w:r w:rsidRPr="005C52AE">
        <w:t>, commi 557 e 562, della legge n. 296 del 2006</w:t>
      </w:r>
      <w:r w:rsidR="00A70F6A" w:rsidRPr="005C52AE">
        <w:t>, relativ</w:t>
      </w:r>
      <w:r w:rsidR="00073E9F" w:rsidRPr="005C52AE">
        <w:t xml:space="preserve">o </w:t>
      </w:r>
      <w:r w:rsidR="00C51FCE" w:rsidRPr="005C52AE">
        <w:t xml:space="preserve">agli obblighi </w:t>
      </w:r>
      <w:r w:rsidR="00A70F6A" w:rsidRPr="005C52AE">
        <w:t xml:space="preserve">di </w:t>
      </w:r>
      <w:r w:rsidR="00C51FCE" w:rsidRPr="005C52AE">
        <w:t>ridu</w:t>
      </w:r>
      <w:r w:rsidR="00073E9F" w:rsidRPr="005C52AE">
        <w:t xml:space="preserve">zione delle </w:t>
      </w:r>
      <w:r w:rsidR="00C51FCE" w:rsidRPr="005C52AE">
        <w:t>spese per il personale</w:t>
      </w:r>
      <w:r w:rsidR="00C61AD8" w:rsidRPr="005C52AE">
        <w:t>;</w:t>
      </w:r>
    </w:p>
    <w:p w14:paraId="20838DBA" w14:textId="601C8E76" w:rsidR="00351007" w:rsidRPr="005C52AE" w:rsidRDefault="00D53C08" w:rsidP="000858CA">
      <w:pPr>
        <w:pStyle w:val="Paragrafoelenco"/>
        <w:numPr>
          <w:ilvl w:val="0"/>
          <w:numId w:val="25"/>
        </w:numPr>
      </w:pPr>
      <w:r w:rsidRPr="005C52AE">
        <w:t>articolo 9, comma 28, del D.L. n. 78 del 2010</w:t>
      </w:r>
      <w:r w:rsidR="00B06461" w:rsidRPr="005C52AE">
        <w:t>, che fissa limiti alla spesa delle pubbliche amministrazioni per il c.d. lavoro flessibile</w:t>
      </w:r>
      <w:r w:rsidR="00721DFB" w:rsidRPr="005C52AE">
        <w:t xml:space="preserve">. </w:t>
      </w:r>
    </w:p>
    <w:p w14:paraId="1386F411" w14:textId="45FD6B6B" w:rsidR="0061738F" w:rsidRPr="005C52AE" w:rsidRDefault="0090160F" w:rsidP="00CD578F">
      <w:r w:rsidRPr="00D2183D">
        <w:t>L</w:t>
      </w:r>
      <w:r w:rsidR="00345206" w:rsidRPr="00D2183D">
        <w:t>a fac</w:t>
      </w:r>
      <w:r w:rsidR="00CD578F" w:rsidRPr="00D2183D">
        <w:t xml:space="preserve">oltà di attivare le procedure d’urgenza </w:t>
      </w:r>
      <w:r w:rsidR="00345206" w:rsidRPr="00D2183D">
        <w:t>è rico</w:t>
      </w:r>
      <w:r w:rsidR="00213804" w:rsidRPr="00D2183D">
        <w:t xml:space="preserve">nosciuta anche </w:t>
      </w:r>
      <w:r w:rsidR="00CD578F" w:rsidRPr="00D2183D">
        <w:t xml:space="preserve">per </w:t>
      </w:r>
      <w:r w:rsidR="000400C9" w:rsidRPr="00D2183D">
        <w:t xml:space="preserve">il </w:t>
      </w:r>
      <w:r w:rsidRPr="00D2183D">
        <w:t>reclutamento del personale delle Province</w:t>
      </w:r>
      <w:r w:rsidR="00A62CD7" w:rsidRPr="00D2183D">
        <w:t xml:space="preserve"> e delle </w:t>
      </w:r>
      <w:r w:rsidRPr="00D2183D">
        <w:t>Città metropolitan</w:t>
      </w:r>
      <w:r w:rsidR="00A62CD7" w:rsidRPr="00D2183D">
        <w:t>e</w:t>
      </w:r>
      <w:r w:rsidRPr="00D2183D">
        <w:t xml:space="preserve"> da destinare esclusivamente alle funzioni di </w:t>
      </w:r>
      <w:r w:rsidRPr="005C52AE">
        <w:t>protezione civile delegate</w:t>
      </w:r>
      <w:r w:rsidR="00A62CD7" w:rsidRPr="005C52AE">
        <w:t xml:space="preserve"> o </w:t>
      </w:r>
      <w:r w:rsidRPr="005C52AE">
        <w:t>conferite dalla Regione.</w:t>
      </w:r>
      <w:r w:rsidR="00632DEE" w:rsidRPr="005C52AE">
        <w:t xml:space="preserve"> Il reclutamento </w:t>
      </w:r>
      <w:r w:rsidR="00DB321E" w:rsidRPr="005C52AE">
        <w:t>potrà essere effettuato a valere sull</w:t>
      </w:r>
      <w:r w:rsidR="00B653AC" w:rsidRPr="005C52AE">
        <w:t xml:space="preserve">a quota </w:t>
      </w:r>
      <w:r w:rsidR="00F62336" w:rsidRPr="005C52AE">
        <w:t>di</w:t>
      </w:r>
      <w:r w:rsidR="00DB321E" w:rsidRPr="005C52AE">
        <w:t xml:space="preserve"> risorse spettanti alla regione nell’ambito del</w:t>
      </w:r>
      <w:r w:rsidR="00915689" w:rsidRPr="005C52AE">
        <w:t xml:space="preserve"> fondo regionale di protezione civile</w:t>
      </w:r>
      <w:r w:rsidR="00F62336" w:rsidRPr="005C52AE">
        <w:t>, destinata al potenziamento del sistema di protezione civile delle regioni e degli enti locali</w:t>
      </w:r>
      <w:r w:rsidR="00915689" w:rsidRPr="005C52AE">
        <w:t>.</w:t>
      </w:r>
    </w:p>
    <w:p w14:paraId="583CF133" w14:textId="5F977685" w:rsidR="00611D24" w:rsidRPr="005C52AE" w:rsidRDefault="00213804" w:rsidP="00611D24">
      <w:r>
        <w:t xml:space="preserve">Il </w:t>
      </w:r>
      <w:r w:rsidRPr="00425C0A">
        <w:rPr>
          <w:b/>
          <w:bCs/>
        </w:rPr>
        <w:t>comma 1</w:t>
      </w:r>
      <w:r>
        <w:t xml:space="preserve">, </w:t>
      </w:r>
      <w:r w:rsidRPr="00425C0A">
        <w:rPr>
          <w:b/>
          <w:bCs/>
        </w:rPr>
        <w:t xml:space="preserve">lettera </w:t>
      </w:r>
      <w:r w:rsidR="00425C0A" w:rsidRPr="00425C0A">
        <w:rPr>
          <w:b/>
          <w:bCs/>
          <w:i/>
          <w:iCs/>
        </w:rPr>
        <w:t>b)</w:t>
      </w:r>
      <w:r w:rsidR="00425C0A">
        <w:t xml:space="preserve">, prevede l’attribuzione alla Regione di potestà normativa e amministrativa </w:t>
      </w:r>
      <w:r w:rsidR="00C16E4E">
        <w:t>relativamente all’istituzione, nell’ambito del comparto funzioni locali, per la specifica professionalità</w:t>
      </w:r>
      <w:r w:rsidR="00163590">
        <w:t xml:space="preserve"> del personale di protezione civile</w:t>
      </w:r>
      <w:r w:rsidR="00C16E4E">
        <w:t>, di apposite sezioni contrattuali relative al personale assegnato, nel rispetto delle procedure di contrattazione collettiva, ferme rimanendo le materie dell’ordine pubblico, della sicurezza e del soccorso pubblico di competenza statale</w:t>
      </w:r>
      <w:r w:rsidR="00163590">
        <w:t>.</w:t>
      </w:r>
      <w:r w:rsidR="0005249B">
        <w:t xml:space="preserve"> </w:t>
      </w:r>
      <w:r w:rsidR="00756FEE">
        <w:t xml:space="preserve">L’istituzione di </w:t>
      </w:r>
      <w:r w:rsidR="0005249B" w:rsidRPr="0005249B">
        <w:t xml:space="preserve">un comparto specifico per la protezione civile è tesa a definire specifici istituti contrattuali collegati agli orari di lavoro, alla flessibilità, alla </w:t>
      </w:r>
      <w:r w:rsidR="0005249B" w:rsidRPr="0005249B">
        <w:lastRenderedPageBreak/>
        <w:t>reperibilità e ad altr</w:t>
      </w:r>
      <w:r w:rsidR="00756FEE">
        <w:t xml:space="preserve">i istituti </w:t>
      </w:r>
      <w:r w:rsidR="0005249B" w:rsidRPr="0005249B">
        <w:t xml:space="preserve">necessari per operare anche in emergenza, attualmente non facilmente rinvenibili nell’ambito </w:t>
      </w:r>
      <w:r w:rsidR="0005249B" w:rsidRPr="00D2183D">
        <w:t xml:space="preserve">della contrattazione delle funzioni locali, fermo restando che le procedure di definizione di questo comparto e dei relativi istituti </w:t>
      </w:r>
      <w:r w:rsidR="000668E0" w:rsidRPr="00D2183D">
        <w:t xml:space="preserve">dovrà avvenire </w:t>
      </w:r>
      <w:r w:rsidR="0005249B" w:rsidRPr="00D2183D">
        <w:t>nel</w:t>
      </w:r>
      <w:r w:rsidR="000668E0" w:rsidRPr="00D2183D">
        <w:t xml:space="preserve">l’ambito del </w:t>
      </w:r>
      <w:r w:rsidR="0005249B" w:rsidRPr="00D2183D">
        <w:t>confronto sindacale.</w:t>
      </w:r>
      <w:r w:rsidR="0010227C" w:rsidRPr="00D2183D">
        <w:t xml:space="preserve"> L’istituzione </w:t>
      </w:r>
      <w:r w:rsidR="00FB2579" w:rsidRPr="00D2183D">
        <w:t>delle sezioni contrattuali è naturalmente pos</w:t>
      </w:r>
      <w:r w:rsidR="00FB2579" w:rsidRPr="005C52AE">
        <w:t>sibile solo ove queste non siano già presenti. Sul punto, si ricorda che i</w:t>
      </w:r>
      <w:r w:rsidR="00FD660A" w:rsidRPr="005C52AE">
        <w:t xml:space="preserve">l </w:t>
      </w:r>
      <w:r w:rsidR="00311187" w:rsidRPr="005C52AE">
        <w:t xml:space="preserve">disegno di legge in materia di protezione civile, approvato </w:t>
      </w:r>
      <w:r w:rsidR="0032669F">
        <w:t xml:space="preserve">dal </w:t>
      </w:r>
      <w:r w:rsidR="00311187" w:rsidRPr="005C52AE">
        <w:t xml:space="preserve">Consiglio dei ministri </w:t>
      </w:r>
      <w:r w:rsidR="0040001D" w:rsidRPr="005C52AE">
        <w:t>il 28 ottobre 2025</w:t>
      </w:r>
      <w:r w:rsidR="00BA7119" w:rsidRPr="005C52AE">
        <w:t>, prevede, in termini generali, nell’ambito della contrattazione collettiva relativa al comparto delle funzioni locali, una sezione contrattuale specifica destinata al personale (dirigenziale e non dirigenziale) delle strutture di protezione civile delle regioni e degli altri enti.</w:t>
      </w:r>
      <w:r w:rsidR="0040001D" w:rsidRPr="005C52AE">
        <w:t xml:space="preserve"> </w:t>
      </w:r>
    </w:p>
    <w:p w14:paraId="39E82334" w14:textId="52A20AA5" w:rsidR="00265088" w:rsidRPr="00D2183D" w:rsidRDefault="00CC3D9C" w:rsidP="00C16E4E">
      <w:r w:rsidRPr="00D2183D">
        <w:t xml:space="preserve">Il </w:t>
      </w:r>
      <w:r w:rsidRPr="00D2183D">
        <w:rPr>
          <w:b/>
          <w:bCs/>
        </w:rPr>
        <w:t>comma 1</w:t>
      </w:r>
      <w:r w:rsidRPr="00D2183D">
        <w:t xml:space="preserve">, </w:t>
      </w:r>
      <w:r w:rsidRPr="00D2183D">
        <w:rPr>
          <w:b/>
          <w:bCs/>
        </w:rPr>
        <w:t xml:space="preserve">lettera </w:t>
      </w:r>
      <w:r w:rsidRPr="00D2183D">
        <w:rPr>
          <w:b/>
          <w:bCs/>
          <w:i/>
          <w:iCs/>
        </w:rPr>
        <w:t>c)</w:t>
      </w:r>
      <w:r w:rsidRPr="00D2183D">
        <w:t xml:space="preserve">, prevede l’attribuzione alla Regione di potestà normativa e amministrativa con riferimento all’esercizio della </w:t>
      </w:r>
      <w:r w:rsidRPr="00D2183D">
        <w:rPr>
          <w:b/>
          <w:bCs/>
        </w:rPr>
        <w:t>funzione di formazione degli operatori di protezione civile</w:t>
      </w:r>
      <w:r w:rsidR="004314C6" w:rsidRPr="00D2183D">
        <w:t xml:space="preserve">. </w:t>
      </w:r>
    </w:p>
    <w:p w14:paraId="171204E7" w14:textId="10887816" w:rsidR="001E5EDD" w:rsidRPr="00D2183D" w:rsidRDefault="004314C6" w:rsidP="00C16E4E">
      <w:r w:rsidRPr="00D2183D">
        <w:t xml:space="preserve">Più specificamente, </w:t>
      </w:r>
      <w:r w:rsidR="005D6755" w:rsidRPr="00D2183D">
        <w:t xml:space="preserve">sono </w:t>
      </w:r>
      <w:r w:rsidRPr="00D2183D">
        <w:t>attribuit</w:t>
      </w:r>
      <w:r w:rsidR="005D6755" w:rsidRPr="00D2183D">
        <w:t>i</w:t>
      </w:r>
      <w:r w:rsidRPr="00D2183D">
        <w:t xml:space="preserve"> alla competenza regionale </w:t>
      </w:r>
      <w:r w:rsidR="005D6755" w:rsidRPr="00D2183D">
        <w:t xml:space="preserve">la </w:t>
      </w:r>
      <w:r w:rsidR="00CC3D9C" w:rsidRPr="00D2183D">
        <w:t>determinazione e</w:t>
      </w:r>
      <w:r w:rsidR="005D6755" w:rsidRPr="00D2183D">
        <w:t xml:space="preserve"> il ric</w:t>
      </w:r>
      <w:r w:rsidR="00CC3D9C" w:rsidRPr="00D2183D">
        <w:t>onoscimento dei percorsi formativi</w:t>
      </w:r>
      <w:r w:rsidR="006D13AF" w:rsidRPr="00D2183D">
        <w:t>, l’</w:t>
      </w:r>
      <w:r w:rsidR="00CC3D9C" w:rsidRPr="00D2183D">
        <w:t xml:space="preserve">individuazione e </w:t>
      </w:r>
      <w:r w:rsidR="006D13AF" w:rsidRPr="00D2183D">
        <w:t xml:space="preserve">il </w:t>
      </w:r>
      <w:r w:rsidR="00CC3D9C" w:rsidRPr="00D2183D">
        <w:t xml:space="preserve">riconoscimento degli enti erogatori, </w:t>
      </w:r>
      <w:r w:rsidR="001E5EDD" w:rsidRPr="00D2183D">
        <w:t xml:space="preserve">la previsione dei </w:t>
      </w:r>
      <w:r w:rsidR="00CC3D9C" w:rsidRPr="00D2183D">
        <w:t xml:space="preserve">sistemi di credito e l’individuazione dei docenti. </w:t>
      </w:r>
      <w:r w:rsidR="001E5EDD" w:rsidRPr="00D2183D">
        <w:t>L’intesa precisa che dalla formazione attribuita alla competenza regionale sono escluse le materie relative alla prevenzione e lotta attiva agli incendi</w:t>
      </w:r>
      <w:r w:rsidR="00E861EC" w:rsidRPr="00D2183D">
        <w:t>, con le relative attività di soccorso,</w:t>
      </w:r>
      <w:r w:rsidR="002A7C97" w:rsidRPr="00D2183D">
        <w:t xml:space="preserve"> in quanto di stretta competenza del Corpo nazionale dei vigili del fuoco, al fine di assicurare l’uniformità degli indirizzi operativi nelle attività di soccorso.</w:t>
      </w:r>
    </w:p>
    <w:p w14:paraId="7D395CEB" w14:textId="6D681146" w:rsidR="00163590" w:rsidRPr="00D2183D" w:rsidRDefault="00E861EC" w:rsidP="00C16E4E">
      <w:r w:rsidRPr="00D2183D">
        <w:t xml:space="preserve">Per garantire </w:t>
      </w:r>
      <w:r w:rsidR="00536517" w:rsidRPr="00D2183D">
        <w:t xml:space="preserve">che la formazione degli operatori di protezione civile </w:t>
      </w:r>
      <w:r w:rsidR="00D55170" w:rsidRPr="00D2183D">
        <w:t xml:space="preserve">sia impartita nel rispetto di standard </w:t>
      </w:r>
      <w:r w:rsidR="00536517" w:rsidRPr="00D2183D">
        <w:t>omogene</w:t>
      </w:r>
      <w:r w:rsidR="00D55170" w:rsidRPr="00D2183D">
        <w:t>i</w:t>
      </w:r>
      <w:r w:rsidR="00536517" w:rsidRPr="00D2183D">
        <w:t xml:space="preserve"> sul territorio nazionale, tenuto conto dell</w:t>
      </w:r>
      <w:r w:rsidR="00B56E6F" w:rsidRPr="00D2183D">
        <w:t xml:space="preserve">’esigenza </w:t>
      </w:r>
      <w:r w:rsidR="00E55AFA" w:rsidRPr="00D2183D">
        <w:t xml:space="preserve">di far </w:t>
      </w:r>
      <w:r w:rsidR="00D13D42" w:rsidRPr="00D2183D">
        <w:t xml:space="preserve">collaborare e </w:t>
      </w:r>
      <w:r w:rsidR="00E55AFA" w:rsidRPr="00D2183D">
        <w:t>interagire il personale delle diverse regioni in contesti di emergenza</w:t>
      </w:r>
      <w:r w:rsidR="006D22C1" w:rsidRPr="00D2183D">
        <w:t xml:space="preserve">, la </w:t>
      </w:r>
      <w:r w:rsidR="00536517" w:rsidRPr="00D2183D">
        <w:t xml:space="preserve">disposizione prevede che la </w:t>
      </w:r>
      <w:r w:rsidR="00CC3D9C" w:rsidRPr="00D2183D">
        <w:t xml:space="preserve">Regione </w:t>
      </w:r>
      <w:r w:rsidR="00536517" w:rsidRPr="00D2183D">
        <w:t xml:space="preserve">debba </w:t>
      </w:r>
      <w:r w:rsidR="00CC3D9C" w:rsidRPr="00D2183D">
        <w:t>esercita</w:t>
      </w:r>
      <w:r w:rsidR="00536517" w:rsidRPr="00D2183D">
        <w:t xml:space="preserve">re le funzioni di </w:t>
      </w:r>
      <w:r w:rsidR="006D22C1" w:rsidRPr="00D2183D">
        <w:t>formazione</w:t>
      </w:r>
      <w:r w:rsidR="00CC3D9C" w:rsidRPr="00D2183D">
        <w:t xml:space="preserve"> nel rispetto di indirizzi previsti con direttiva </w:t>
      </w:r>
      <w:r w:rsidR="00093062" w:rsidRPr="00D2183D">
        <w:t xml:space="preserve">del Presidente del Consiglio dei ministri, </w:t>
      </w:r>
      <w:r w:rsidR="00CC3D9C" w:rsidRPr="00D2183D">
        <w:t>da adottarsi ai sensi dell'articolo 15 del Codice</w:t>
      </w:r>
      <w:r w:rsidR="005E78EE" w:rsidRPr="00D2183D">
        <w:t>,</w:t>
      </w:r>
      <w:r w:rsidR="00CC3D9C" w:rsidRPr="00D2183D">
        <w:t xml:space="preserve"> entro sessanta giorni dall’entrata in vigore dell</w:t>
      </w:r>
      <w:r w:rsidR="00093062" w:rsidRPr="00D2183D">
        <w:t>’intesa</w:t>
      </w:r>
      <w:r w:rsidR="00CC3D9C" w:rsidRPr="00D2183D">
        <w:t>.</w:t>
      </w:r>
    </w:p>
    <w:p w14:paraId="60A0C602" w14:textId="26B7956B" w:rsidR="003D2A96" w:rsidRPr="00B24429" w:rsidRDefault="003D2A96" w:rsidP="00C16E4E">
      <w:r w:rsidRPr="00B24429">
        <w:t xml:space="preserve">Il comma 2 specifica che </w:t>
      </w:r>
      <w:r w:rsidR="00925C02" w:rsidRPr="00B24429">
        <w:t>al</w:t>
      </w:r>
      <w:r w:rsidRPr="00B24429">
        <w:t>l’esercizio delle funzioni attribuite</w:t>
      </w:r>
      <w:r w:rsidR="00925C02" w:rsidRPr="00B24429">
        <w:t xml:space="preserve"> dall’articolo 4 la </w:t>
      </w:r>
      <w:r w:rsidRPr="00B24429">
        <w:t>Regione</w:t>
      </w:r>
      <w:r w:rsidR="00925C02" w:rsidRPr="00B24429">
        <w:t xml:space="preserve"> dovrà provvedere </w:t>
      </w:r>
      <w:r w:rsidR="00197B43" w:rsidRPr="00B24429">
        <w:t>nei limiti delle risorse disponibili a legislazione vigente.</w:t>
      </w:r>
    </w:p>
    <w:p w14:paraId="1F01649A" w14:textId="77777777" w:rsidR="00A22B40" w:rsidRPr="00D2183D" w:rsidRDefault="00A22B40" w:rsidP="0076077E"/>
    <w:p w14:paraId="2A60F543" w14:textId="1DE92251" w:rsidR="00896A00" w:rsidRDefault="000C6A58" w:rsidP="00896A00">
      <w:r>
        <w:t>L’</w:t>
      </w:r>
      <w:r w:rsidRPr="00145394">
        <w:rPr>
          <w:b/>
          <w:bCs/>
        </w:rPr>
        <w:t>articolo 5</w:t>
      </w:r>
      <w:r>
        <w:t xml:space="preserve"> </w:t>
      </w:r>
      <w:r w:rsidR="00145394">
        <w:t>e</w:t>
      </w:r>
      <w:r w:rsidR="00145394" w:rsidRPr="00145394">
        <w:t>stende ai veicoli e ai conducenti della protezione civile regionale le disposizioni statali relative alle targhe e alle patenti applicabili alla protezione civile nazionale</w:t>
      </w:r>
      <w:r w:rsidR="00145394">
        <w:t>.</w:t>
      </w:r>
      <w:r w:rsidR="00ED0441">
        <w:t xml:space="preserve"> </w:t>
      </w:r>
      <w:r w:rsidR="00145394">
        <w:t xml:space="preserve">In particolare, l’intesa prevede che </w:t>
      </w:r>
      <w:r w:rsidR="00034CAD">
        <w:t>trovino applicazione ai veicoli e conducenti della protezione civile regionale le disposizioni di cui all’articolo 138, commi 11 e 11-</w:t>
      </w:r>
      <w:r w:rsidR="00034CAD" w:rsidRPr="00ED0441">
        <w:rPr>
          <w:i/>
          <w:iCs/>
        </w:rPr>
        <w:t>bis</w:t>
      </w:r>
      <w:r w:rsidR="00034CAD">
        <w:t>, del</w:t>
      </w:r>
      <w:r w:rsidR="00896A00">
        <w:t xml:space="preserve"> Codice della strada (di cui al d.lgs. n. 285 del 1992).</w:t>
      </w:r>
    </w:p>
    <w:p w14:paraId="7D6C10D2" w14:textId="7B0707F3" w:rsidR="0076077E" w:rsidRDefault="00680F3B" w:rsidP="00BD1FF1">
      <w:r>
        <w:t>Si rammenta che l’articolo 138 del Codice della strada</w:t>
      </w:r>
      <w:r w:rsidR="00436347">
        <w:t xml:space="preserve"> detta una disciplina particolare per i </w:t>
      </w:r>
      <w:r w:rsidR="00C82D3D">
        <w:t xml:space="preserve">veicoli e le patenti dei conducenti delle </w:t>
      </w:r>
      <w:r w:rsidR="00BD1FF1">
        <w:t>Forze armate</w:t>
      </w:r>
      <w:r w:rsidR="00C82D3D">
        <w:t xml:space="preserve">, consentendo </w:t>
      </w:r>
      <w:r w:rsidR="009F64AE">
        <w:t xml:space="preserve">– al comma 11 - </w:t>
      </w:r>
      <w:r w:rsidR="00C82D3D">
        <w:t xml:space="preserve">l’applicazione di tale normativa speciale </w:t>
      </w:r>
      <w:r w:rsidR="00E63E79">
        <w:t xml:space="preserve">anche </w:t>
      </w:r>
      <w:r w:rsidR="00D238DD">
        <w:t>a</w:t>
      </w:r>
      <w:r w:rsidR="00BD1FF1">
        <w:t>i veicoli e ai conducenti</w:t>
      </w:r>
      <w:r w:rsidR="00D238DD">
        <w:t xml:space="preserve">, tra gli altri, </w:t>
      </w:r>
      <w:r w:rsidR="00BD1FF1">
        <w:t>del Corpo nazionale dei vigili del fuoco, dei Corpi dei vigili del fuoco delle province autonome di Trento e di Bolzano</w:t>
      </w:r>
      <w:r w:rsidR="009F64AE">
        <w:t xml:space="preserve"> e </w:t>
      </w:r>
      <w:r w:rsidR="00BD1FF1">
        <w:t>della regione Valle d'Aosta.</w:t>
      </w:r>
      <w:r w:rsidR="00317118">
        <w:t xml:space="preserve"> In base al richiamato comma 11-</w:t>
      </w:r>
      <w:r w:rsidR="00317118" w:rsidRPr="00ED0441">
        <w:rPr>
          <w:i/>
          <w:iCs/>
        </w:rPr>
        <w:t>bis</w:t>
      </w:r>
      <w:r w:rsidR="00317118">
        <w:t>, i</w:t>
      </w:r>
      <w:r w:rsidR="00BD1FF1">
        <w:t xml:space="preserve"> veicoli in dotazione alla Protezione civile nazionale, alla protezione civile della Regione Valle d’Aosta e delle Province autonome di Trento e di Bolzano, agli enti locali e agli enti del Terzo settore, comunque immatricolati, utilizzati per fini istituzionali e servizi di pubblica utilità, </w:t>
      </w:r>
      <w:r w:rsidR="00BD1FF1">
        <w:lastRenderedPageBreak/>
        <w:t xml:space="preserve">possono essere dotati di rimorchio destinato al trasporto di cose, di larghezza massima superiore alla larghezza del veicolo trainante, fermi restando i limiti </w:t>
      </w:r>
      <w:r w:rsidR="00317118">
        <w:t xml:space="preserve">individuati dagli </w:t>
      </w:r>
      <w:r w:rsidR="00BD1FF1">
        <w:t>articoli 61 e 62</w:t>
      </w:r>
      <w:r w:rsidR="00317118">
        <w:t xml:space="preserve"> del Codice.</w:t>
      </w:r>
    </w:p>
    <w:p w14:paraId="6DE8B494" w14:textId="77777777" w:rsidR="00D65DD8" w:rsidRDefault="0055350A" w:rsidP="002B3B9A">
      <w:r>
        <w:t xml:space="preserve">Il </w:t>
      </w:r>
      <w:r w:rsidRPr="00D87F4B">
        <w:rPr>
          <w:b/>
          <w:bCs/>
        </w:rPr>
        <w:t>comma 1</w:t>
      </w:r>
      <w:r>
        <w:t xml:space="preserve"> dell’articolo 5 estende l</w:t>
      </w:r>
      <w:r w:rsidR="008A08E6">
        <w:t xml:space="preserve">’applicabilità di queste disposizioni anche alla protezione civile della Regione che stipula l’intesa, mentre il successivo </w:t>
      </w:r>
      <w:r w:rsidR="008A08E6" w:rsidRPr="00D87F4B">
        <w:rPr>
          <w:b/>
          <w:bCs/>
        </w:rPr>
        <w:t>comma 2</w:t>
      </w:r>
      <w:r w:rsidR="008A08E6">
        <w:t xml:space="preserve"> precisa che l’applicazione </w:t>
      </w:r>
      <w:r w:rsidR="002B3B9A">
        <w:t xml:space="preserve">di tali disposizioni è </w:t>
      </w:r>
      <w:r w:rsidR="0076077E">
        <w:t>subordinata</w:t>
      </w:r>
      <w:r w:rsidR="00D65DD8">
        <w:t>:</w:t>
      </w:r>
    </w:p>
    <w:p w14:paraId="1815E262" w14:textId="77777777" w:rsidR="00D65DD8" w:rsidRDefault="0076077E" w:rsidP="00D65DD8">
      <w:pPr>
        <w:pStyle w:val="Paragrafoelenco"/>
        <w:numPr>
          <w:ilvl w:val="0"/>
          <w:numId w:val="25"/>
        </w:numPr>
      </w:pPr>
      <w:r>
        <w:t>alla definizione di specifici parametri di equipollenza alle disposizioni unionali armonizzate delle patenti rilasciate ai sensi del comma 3 del medesimo articolo 138, individuati mediante apposito protocollo di intesa tra la Direzione generale per la motorizzazione del Ministero delle infrastrutture e dei trasporti e la Regione</w:t>
      </w:r>
      <w:r w:rsidR="00D65DD8">
        <w:t>;</w:t>
      </w:r>
    </w:p>
    <w:p w14:paraId="35CE41F9" w14:textId="2F807E3B" w:rsidR="0076077E" w:rsidRDefault="0076077E" w:rsidP="00D65DD8">
      <w:pPr>
        <w:pStyle w:val="Paragrafoelenco"/>
        <w:numPr>
          <w:ilvl w:val="0"/>
          <w:numId w:val="25"/>
        </w:numPr>
      </w:pPr>
      <w:r>
        <w:t>all’obbligo di comunicazione dei dati completi dei veicoli immatricolati, secondo modalità definite con apposito provvedimento della medesima Direzione generale per la motorizzazione.</w:t>
      </w:r>
    </w:p>
    <w:p w14:paraId="4FD89C68" w14:textId="61E37B5F" w:rsidR="00197B43" w:rsidRDefault="00197B43" w:rsidP="00197B43">
      <w:r w:rsidRPr="00B24429">
        <w:t>Il comma 3 specifica che all’esercizio delle funzioni attribuite dall’articolo 4 la Regione dovrà provvedere nei limiti delle risorse disponibili a legislazione vigente.</w:t>
      </w:r>
    </w:p>
    <w:p w14:paraId="1FB7098E" w14:textId="77777777" w:rsidR="00B24429" w:rsidRPr="00B24429" w:rsidRDefault="00B24429" w:rsidP="00197B43"/>
    <w:p w14:paraId="338D9901" w14:textId="337090E1" w:rsidR="0076077E" w:rsidRDefault="00533F04" w:rsidP="0076077E">
      <w:r>
        <w:t>L’</w:t>
      </w:r>
      <w:r w:rsidRPr="00854E50">
        <w:rPr>
          <w:b/>
          <w:bCs/>
        </w:rPr>
        <w:t>articolo 6</w:t>
      </w:r>
      <w:r>
        <w:t xml:space="preserve"> contiene una disposizione transitoria, destinata ad essere applicata nelle more della definizione </w:t>
      </w:r>
      <w:r w:rsidR="00854E50">
        <w:t xml:space="preserve">statale </w:t>
      </w:r>
      <w:r>
        <w:t>dei livelli essenziali delle prestazioni</w:t>
      </w:r>
      <w:r w:rsidR="00854E50">
        <w:t xml:space="preserve">. </w:t>
      </w:r>
      <w:r w:rsidR="00B0670B">
        <w:t>In merito</w:t>
      </w:r>
      <w:r w:rsidR="00332C93">
        <w:t>,</w:t>
      </w:r>
      <w:r w:rsidR="00B0670B">
        <w:t xml:space="preserve"> l</w:t>
      </w:r>
      <w:r w:rsidR="00332C93">
        <w:t xml:space="preserve">o schema di </w:t>
      </w:r>
      <w:r w:rsidR="00B0670B">
        <w:t>intesa precisa che l’ordinanza regionale di protezione civile di cui all’articolo 2</w:t>
      </w:r>
      <w:r w:rsidR="009E4587">
        <w:t xml:space="preserve"> non può prevedere </w:t>
      </w:r>
      <w:r w:rsidR="00C075B1">
        <w:t xml:space="preserve">una deroga a norme statali </w:t>
      </w:r>
      <w:r w:rsidR="00AB528E">
        <w:t>che riguardano funzioni che attengono a prestazioni concernenti i diritti civili e sociali</w:t>
      </w:r>
      <w:r w:rsidR="00C075B1">
        <w:t xml:space="preserve"> se </w:t>
      </w:r>
      <w:r w:rsidR="00505CD7">
        <w:t xml:space="preserve">in quella materia non sono stati previamente determinati i </w:t>
      </w:r>
      <w:r w:rsidR="0076077E">
        <w:t>livelli essenziali delle prestazioni.</w:t>
      </w:r>
    </w:p>
    <w:p w14:paraId="1AB3962F" w14:textId="3701F081" w:rsidR="008B0CAF" w:rsidRPr="002E2A52" w:rsidRDefault="008B0CAF" w:rsidP="008B0CAF">
      <w:r w:rsidRPr="002E2A52">
        <w:t xml:space="preserve">Questa previsione tiene conto di quanto statuito dalla Corte costituzionale nella sentenza n. 192 del 2024, secondo cui </w:t>
      </w:r>
      <w:r w:rsidR="002B09A8" w:rsidRPr="002E2A52">
        <w:t>«</w:t>
      </w:r>
      <w:r w:rsidRPr="002E2A52">
        <w:rPr>
          <w:i/>
          <w:iCs/>
        </w:rPr>
        <w:t>nel momento in cui il legislatore qualifica una materia come “no-LEP”, i relativi trasferimenti non potranno riguardare funzioni che attengono a prestazioni concernenti i diritti civili e sociali. Se, invece, lo Stato intende accogliere una richiesta regionale relativa a una funzione rientrante in una materia “no-LEP” e incidente su un diritto civile o sociale, occorrerà la previa determinazione del relativo LEP (e costo standard)</w:t>
      </w:r>
      <w:r w:rsidR="002B09A8" w:rsidRPr="002E2A52">
        <w:t>»</w:t>
      </w:r>
      <w:r w:rsidRPr="002E2A52">
        <w:t xml:space="preserve"> (</w:t>
      </w:r>
      <w:r w:rsidR="0042186D" w:rsidRPr="002E2A52">
        <w:t xml:space="preserve">cfr. </w:t>
      </w:r>
      <w:proofErr w:type="spellStart"/>
      <w:r w:rsidR="0042186D" w:rsidRPr="002E2A52">
        <w:t>pt</w:t>
      </w:r>
      <w:proofErr w:type="spellEnd"/>
      <w:r w:rsidR="0042186D" w:rsidRPr="002E2A52">
        <w:t>.</w:t>
      </w:r>
      <w:r w:rsidRPr="002E2A52">
        <w:t xml:space="preserve"> 15.2 del</w:t>
      </w:r>
      <w:r w:rsidR="00C9331B" w:rsidRPr="002E2A52">
        <w:t xml:space="preserve"> </w:t>
      </w:r>
      <w:r w:rsidR="00C9331B" w:rsidRPr="002E2A52">
        <w:rPr>
          <w:i/>
          <w:iCs/>
        </w:rPr>
        <w:t>Considerato in d</w:t>
      </w:r>
      <w:r w:rsidRPr="002E2A52">
        <w:rPr>
          <w:i/>
          <w:iCs/>
        </w:rPr>
        <w:t>iritto</w:t>
      </w:r>
      <w:r w:rsidRPr="002E2A52">
        <w:t>; cfr. anche Corte cost.</w:t>
      </w:r>
      <w:r w:rsidR="00C9331B" w:rsidRPr="002E2A52">
        <w:t xml:space="preserve">, sentenza </w:t>
      </w:r>
      <w:r w:rsidRPr="002E2A52">
        <w:t>n. 10 del 2025).</w:t>
      </w:r>
      <w:r w:rsidR="00C30022" w:rsidRPr="002E2A52">
        <w:t xml:space="preserve"> </w:t>
      </w:r>
      <w:r w:rsidRPr="002E2A52">
        <w:t>La Corte costituzionale, nel riferirsi alle materie no-</w:t>
      </w:r>
      <w:proofErr w:type="spellStart"/>
      <w:r w:rsidRPr="002E2A52">
        <w:t>Lep</w:t>
      </w:r>
      <w:proofErr w:type="spellEnd"/>
      <w:r w:rsidRPr="002E2A52">
        <w:t xml:space="preserve"> e, in particolare, a funzioni attinenti a prestazioni concernenti i diritti civili e sociali, non ha operato distinzioni, astenendosi dal prevedere eccezioni in relazione a talune materie no-</w:t>
      </w:r>
      <w:proofErr w:type="spellStart"/>
      <w:r w:rsidRPr="002E2A52">
        <w:t>Lep</w:t>
      </w:r>
      <w:proofErr w:type="spellEnd"/>
      <w:r w:rsidRPr="002E2A52">
        <w:t>, quale quella della protezione civile: pertanto, anche in tali ipotesi, qualora con il potere di ordinanza si influisca sulla disciplina di una funzione attinente a prestazioni concernenti diritti civili e sociali, occorr</w:t>
      </w:r>
      <w:r w:rsidR="005C2B48">
        <w:t>erà</w:t>
      </w:r>
      <w:r w:rsidRPr="002E2A52">
        <w:t xml:space="preserve"> previamente determinare il relativo livello essenziale di prestazione.</w:t>
      </w:r>
      <w:r w:rsidR="002E2A52" w:rsidRPr="002E2A52">
        <w:t xml:space="preserve"> </w:t>
      </w:r>
      <w:r w:rsidRPr="002E2A52">
        <w:t>Inoltre, si osserva che il livello essenziale della prestazione è funzionale ad assicurare il rispetto del principio di eguaglianza, definendo uno standard di tutela minimo da osservare su tutto il territorio nazionale, a prescindere dal contesto regionale di riferimento.</w:t>
      </w:r>
      <w:r w:rsidR="002E2A52" w:rsidRPr="002E2A52">
        <w:t xml:space="preserve"> </w:t>
      </w:r>
    </w:p>
    <w:p w14:paraId="57C20EE4" w14:textId="76954E4E" w:rsidR="008B0CAF" w:rsidRPr="002E2A52" w:rsidRDefault="008B0CAF" w:rsidP="008B0CAF">
      <w:r w:rsidRPr="002E2A52">
        <w:t xml:space="preserve">A fronte di una disciplina generale che vieta alle Regioni di derogare, in caso di emergenza regionale, alla disciplina statale (articolo 25, comma 11, d. lgs. n. 1 del 2018), qualora il potere di ordinanza conferito in regime di autonomia differenziata deroghi alla disciplina statale in </w:t>
      </w:r>
      <w:r w:rsidRPr="002E2A52">
        <w:lastRenderedPageBreak/>
        <w:t>relazione a funzioni concernenti diritti civili e sociali, si ritiene necessaria la previa determinazione del relativo livello essenziale di prestazione; ciò, al fine di evitare l’emersione di contesti regionali in cui non è ammessa alcuna deroga alla disciplina statale e contesti regionali in cui tale deroga è invece ammessa con il solo limite del rispetto del nucleo essenziale dei diritti incisi (come emergente dai principi generali della materia, dalle disposizioni europee e dalla disciplina antimafia/penale).</w:t>
      </w:r>
    </w:p>
    <w:p w14:paraId="5A338DA2" w14:textId="77777777" w:rsidR="0076077E" w:rsidRDefault="0076077E" w:rsidP="0076077E"/>
    <w:p w14:paraId="3ACD61BF" w14:textId="2200C4C0" w:rsidR="00DA5CF2" w:rsidRDefault="00DA5CF2" w:rsidP="00DA5CF2">
      <w:r>
        <w:t xml:space="preserve">Il </w:t>
      </w:r>
      <w:r w:rsidR="00227781">
        <w:rPr>
          <w:b/>
          <w:bCs/>
        </w:rPr>
        <w:t xml:space="preserve">capo </w:t>
      </w:r>
      <w:r w:rsidR="00227781" w:rsidRPr="00227781">
        <w:rPr>
          <w:b/>
          <w:bCs/>
        </w:rPr>
        <w:t>II</w:t>
      </w:r>
      <w:r w:rsidR="00227781">
        <w:t xml:space="preserve">, agli articoli 7 e 8, </w:t>
      </w:r>
      <w:r>
        <w:t>disciplina l’</w:t>
      </w:r>
      <w:r w:rsidRPr="00631BB2">
        <w:rPr>
          <w:b/>
          <w:bCs/>
        </w:rPr>
        <w:t xml:space="preserve">attribuzione alla Regione </w:t>
      </w:r>
      <w:r w:rsidR="00227781" w:rsidRPr="00631BB2">
        <w:rPr>
          <w:b/>
          <w:bCs/>
        </w:rPr>
        <w:t xml:space="preserve">di specifiche funzioni </w:t>
      </w:r>
      <w:r w:rsidR="00FB72F0" w:rsidRPr="00631BB2">
        <w:rPr>
          <w:b/>
          <w:bCs/>
        </w:rPr>
        <w:t xml:space="preserve">normative e amministrative </w:t>
      </w:r>
      <w:r w:rsidRPr="00631BB2">
        <w:rPr>
          <w:b/>
          <w:bCs/>
        </w:rPr>
        <w:t>nell</w:t>
      </w:r>
      <w:r w:rsidR="00227781" w:rsidRPr="00631BB2">
        <w:rPr>
          <w:b/>
          <w:bCs/>
        </w:rPr>
        <w:t>a</w:t>
      </w:r>
      <w:r w:rsidRPr="00631BB2">
        <w:rPr>
          <w:b/>
          <w:bCs/>
        </w:rPr>
        <w:t xml:space="preserve"> materi</w:t>
      </w:r>
      <w:r w:rsidR="00227781" w:rsidRPr="00631BB2">
        <w:rPr>
          <w:b/>
          <w:bCs/>
        </w:rPr>
        <w:t>a</w:t>
      </w:r>
      <w:r>
        <w:t xml:space="preserve"> “</w:t>
      </w:r>
      <w:r w:rsidRPr="00C60F25">
        <w:rPr>
          <w:b/>
          <w:bCs/>
        </w:rPr>
        <w:t>professioni</w:t>
      </w:r>
      <w:r>
        <w:t>”.</w:t>
      </w:r>
    </w:p>
    <w:p w14:paraId="1541C84F" w14:textId="533AC5B6" w:rsidR="003335E6" w:rsidRDefault="00C77003" w:rsidP="00387CB7">
      <w:r>
        <w:t xml:space="preserve">Si tratta di una materia di legislazione concorrente nella quale, attualmente, in base all’articolo 117, </w:t>
      </w:r>
      <w:r w:rsidR="00EB68A6">
        <w:t xml:space="preserve">terzo </w:t>
      </w:r>
      <w:r>
        <w:t>comma</w:t>
      </w:r>
      <w:r w:rsidR="00EB68A6">
        <w:t xml:space="preserve"> della Costituzione e alla giurisprudenza costituzionale conseguente, </w:t>
      </w:r>
      <w:r w:rsidR="00E25D68">
        <w:t xml:space="preserve">le Regioni non possono </w:t>
      </w:r>
      <w:r w:rsidR="0051244B">
        <w:t xml:space="preserve">individuare </w:t>
      </w:r>
      <w:r w:rsidR="00E66EA5">
        <w:t xml:space="preserve">nuove </w:t>
      </w:r>
      <w:r w:rsidR="0051244B">
        <w:t>figure professionali, con i relativi profili e titoli abilitanti</w:t>
      </w:r>
      <w:r w:rsidR="008A2096">
        <w:t xml:space="preserve">, </w:t>
      </w:r>
      <w:r w:rsidR="00800FE7">
        <w:t>né istituire propri registri</w:t>
      </w:r>
      <w:r w:rsidR="00E45CED">
        <w:t xml:space="preserve">, risultando </w:t>
      </w:r>
      <w:r w:rsidR="00E97659">
        <w:t>riservata allo Stato</w:t>
      </w:r>
      <w:r w:rsidR="008A2096">
        <w:t xml:space="preserve"> </w:t>
      </w:r>
      <w:r w:rsidR="00546A15">
        <w:t>l’</w:t>
      </w:r>
      <w:r w:rsidR="00E45CED">
        <w:t xml:space="preserve">uniforme </w:t>
      </w:r>
      <w:r w:rsidR="00BE6ED7">
        <w:t xml:space="preserve">regolamentazione </w:t>
      </w:r>
      <w:r w:rsidR="00546A15">
        <w:t xml:space="preserve">delle professioni </w:t>
      </w:r>
      <w:r w:rsidR="00BE6ED7">
        <w:t>per i profili ordinamentali che non hanno uno specifico collegamento con la realtà regionale</w:t>
      </w:r>
      <w:r w:rsidR="009A2AF4">
        <w:t>.</w:t>
      </w:r>
      <w:r w:rsidR="003335E6">
        <w:t xml:space="preserve"> </w:t>
      </w:r>
      <w:r w:rsidR="00387CB7">
        <w:t>U</w:t>
      </w:r>
      <w:r w:rsidR="003335E6" w:rsidRPr="003335E6">
        <w:t>na costante giurisprudenza della Corte costituzionale, da ultimo ribadita con sentenza n. 127</w:t>
      </w:r>
      <w:r w:rsidR="00387CB7">
        <w:t xml:space="preserve"> del </w:t>
      </w:r>
      <w:r w:rsidR="003335E6" w:rsidRPr="003335E6">
        <w:t xml:space="preserve">2023, afferma </w:t>
      </w:r>
      <w:r w:rsidR="00387CB7">
        <w:t xml:space="preserve">infatti </w:t>
      </w:r>
      <w:r w:rsidR="003335E6" w:rsidRPr="003335E6">
        <w:t xml:space="preserve">che «la potestà legislativa regionale nella materia concorrente delle “professioni” deve rispettare il principio secondo cui l’individuazione delle figure professionali, con i relativi profili e titoli abilitanti, è riservata, per il suo carattere necessariamente unitario, allo Stato, rientrando nella competenza delle Regioni la disciplina di quegli aspetti che presentano uno specifico collegamento con la realtà regionale; e che tale principio, al di là della particolare attuazione ad opera dei singoli precetti normativi, si configura [...] quale limite di ordine generale, invalicabile dalla legge regionale, da ciò derivando che non è nei poteri delle Regioni dar vita a nuove figure professionali» (sentenza n. 98 del 2013, come richiamata dalla sentenza n. 209 del 2020). Conseguentemente, la Corte ha chiarito che esula dai limiti della competenza legislativa concorrente delle Regioni in materia «professioni» l’istituzione di nuovi e diversi albi rispetto a quelli già istituiti dalle leggi statali, per l’esercizio di attività professionali. Tali albi, infatti, hanno una funzione </w:t>
      </w:r>
      <w:proofErr w:type="spellStart"/>
      <w:r w:rsidR="003335E6" w:rsidRPr="003335E6">
        <w:t>individuatrice</w:t>
      </w:r>
      <w:proofErr w:type="spellEnd"/>
      <w:r w:rsidR="003335E6" w:rsidRPr="003335E6">
        <w:t xml:space="preserve"> delle professioni, preclusa, in quanto tale, alla competenza regionale. «Quando però gli albi regionali svolgono funzioni meramente ricognitive o di comunicazione e di aggiornamento non si pongono al di fuori dell’ambito delle competenze regionali, dovendo intendersi riferiti a professioni già riconosciute dalla legge statale» (sentenza n. 271 del 2009).</w:t>
      </w:r>
    </w:p>
    <w:p w14:paraId="5189AC8F" w14:textId="4E9F4AE8" w:rsidR="00612478" w:rsidRDefault="00612478" w:rsidP="003335E6">
      <w:r>
        <w:t>Rispetto a</w:t>
      </w:r>
      <w:r w:rsidR="00BB65A5">
        <w:t xml:space="preserve">l </w:t>
      </w:r>
      <w:r>
        <w:t>quadro normativo vigente, lo schema di intesa prevede, all’</w:t>
      </w:r>
      <w:r w:rsidR="00227781" w:rsidRPr="004B799D">
        <w:rPr>
          <w:b/>
          <w:bCs/>
        </w:rPr>
        <w:t>articolo 7</w:t>
      </w:r>
      <w:r w:rsidR="004B799D">
        <w:t xml:space="preserve">, </w:t>
      </w:r>
      <w:r w:rsidR="004B799D" w:rsidRPr="004B799D">
        <w:rPr>
          <w:b/>
          <w:bCs/>
        </w:rPr>
        <w:t>comma 1</w:t>
      </w:r>
      <w:r w:rsidR="004B799D">
        <w:t xml:space="preserve">, </w:t>
      </w:r>
      <w:r w:rsidR="00227781">
        <w:t>che</w:t>
      </w:r>
      <w:r w:rsidR="00FA5E5B">
        <w:t xml:space="preserve"> in attuazione dell’articolo 116, terzo comma, della Costituzione,</w:t>
      </w:r>
      <w:r w:rsidR="008D0758">
        <w:t xml:space="preserve"> e nel rispetto delle Costituzione e delle norme dell’Unione europea,</w:t>
      </w:r>
      <w:r w:rsidR="00FA5E5B">
        <w:t xml:space="preserve"> </w:t>
      </w:r>
      <w:r w:rsidR="00227781">
        <w:t xml:space="preserve">la Regione possa </w:t>
      </w:r>
      <w:r w:rsidR="00227781" w:rsidRPr="004B799D">
        <w:rPr>
          <w:b/>
          <w:bCs/>
        </w:rPr>
        <w:t xml:space="preserve">disciplinare </w:t>
      </w:r>
      <w:r w:rsidR="00FB72F0" w:rsidRPr="004B799D">
        <w:rPr>
          <w:b/>
          <w:bCs/>
        </w:rPr>
        <w:t>professioni di rilievo regionale</w:t>
      </w:r>
      <w:r w:rsidR="004320C2">
        <w:t xml:space="preserve"> (alla cui definizione provvede il comma 3). </w:t>
      </w:r>
    </w:p>
    <w:p w14:paraId="6CB2794B" w14:textId="17D4DCF7" w:rsidR="004320C2" w:rsidRDefault="004320C2" w:rsidP="004320C2">
      <w:r>
        <w:t xml:space="preserve">Il </w:t>
      </w:r>
      <w:r w:rsidRPr="005E58FA">
        <w:rPr>
          <w:b/>
          <w:bCs/>
        </w:rPr>
        <w:t>comma 2</w:t>
      </w:r>
      <w:r>
        <w:t xml:space="preserve"> precisa che </w:t>
      </w:r>
      <w:r w:rsidR="00974B64">
        <w:t xml:space="preserve">sono escluse dall’attribuzione di funzioni le </w:t>
      </w:r>
      <w:r w:rsidR="005E58FA">
        <w:t xml:space="preserve">c.d. </w:t>
      </w:r>
      <w:r w:rsidR="00974B64">
        <w:t xml:space="preserve">professioni </w:t>
      </w:r>
      <w:r w:rsidR="005E58FA">
        <w:t>ordinistiche (“</w:t>
      </w:r>
      <w:r>
        <w:t>attività riservate per legge a soggetti iscritti in albi o elenchi ai sensi dell'art</w:t>
      </w:r>
      <w:r w:rsidR="005E58FA">
        <w:t>icolo</w:t>
      </w:r>
      <w:r>
        <w:t xml:space="preserve"> 2229 del codice civile</w:t>
      </w:r>
      <w:r w:rsidR="00930C1F">
        <w:t>”</w:t>
      </w:r>
      <w:r w:rsidR="005E58FA">
        <w:t xml:space="preserve">), le </w:t>
      </w:r>
      <w:r>
        <w:t>professioni sanitarie e relative attività tipiche.</w:t>
      </w:r>
    </w:p>
    <w:p w14:paraId="38131E3F" w14:textId="655D45B8" w:rsidR="00F43BF7" w:rsidRDefault="00042436" w:rsidP="003335E6">
      <w:r>
        <w:t>I</w:t>
      </w:r>
      <w:r w:rsidR="005E58FA">
        <w:t xml:space="preserve">l </w:t>
      </w:r>
      <w:r w:rsidR="005E58FA" w:rsidRPr="00042436">
        <w:rPr>
          <w:b/>
          <w:bCs/>
        </w:rPr>
        <w:t>comma 3</w:t>
      </w:r>
      <w:r w:rsidR="005E58FA">
        <w:t xml:space="preserve"> chiarisce c</w:t>
      </w:r>
      <w:r w:rsidR="00FB78DF">
        <w:t xml:space="preserve">he con l’espressione </w:t>
      </w:r>
      <w:r w:rsidR="005E58FA">
        <w:t>“professioni di rilievo regionale”</w:t>
      </w:r>
      <w:r w:rsidR="00FB78DF">
        <w:t xml:space="preserve"> </w:t>
      </w:r>
      <w:r w:rsidR="00F43BF7">
        <w:t>si intende</w:t>
      </w:r>
      <w:r w:rsidR="00F36F16">
        <w:t xml:space="preserve"> una attività economica</w:t>
      </w:r>
      <w:r w:rsidR="00FB78DF">
        <w:t xml:space="preserve"> che presenta tutte le seguenti caratteristiche</w:t>
      </w:r>
      <w:r w:rsidR="00F43BF7">
        <w:t>:</w:t>
      </w:r>
    </w:p>
    <w:p w14:paraId="7DD8D255" w14:textId="3B36EF1C" w:rsidR="00D13D61" w:rsidRDefault="0029279E" w:rsidP="00D13D61">
      <w:r>
        <w:lastRenderedPageBreak/>
        <w:t xml:space="preserve">- </w:t>
      </w:r>
      <w:r w:rsidR="00FB78DF">
        <w:t xml:space="preserve">è </w:t>
      </w:r>
      <w:r w:rsidR="00D13D61">
        <w:t>diretta alla prestazione di servizi a favore di terzi nel territorio della Regione</w:t>
      </w:r>
      <w:r>
        <w:t xml:space="preserve"> (</w:t>
      </w:r>
      <w:r w:rsidRPr="00746238">
        <w:rPr>
          <w:b/>
          <w:bCs/>
        </w:rPr>
        <w:t xml:space="preserve">lettera </w:t>
      </w:r>
      <w:r w:rsidRPr="00746238">
        <w:rPr>
          <w:b/>
          <w:bCs/>
          <w:i/>
          <w:iCs/>
        </w:rPr>
        <w:t>a)</w:t>
      </w:r>
      <w:r w:rsidR="00D13D61">
        <w:t>;</w:t>
      </w:r>
    </w:p>
    <w:p w14:paraId="020A079C" w14:textId="5789B184" w:rsidR="00D13D61" w:rsidRDefault="0029279E" w:rsidP="00D13D61">
      <w:r>
        <w:t xml:space="preserve">- </w:t>
      </w:r>
      <w:r w:rsidR="00FB78DF">
        <w:t xml:space="preserve">è </w:t>
      </w:r>
      <w:r w:rsidR="00D13D61">
        <w:t>esercitata abitualmente mediante lavoro intellettuale, o comunque con il concorso di questo</w:t>
      </w:r>
      <w:r>
        <w:t xml:space="preserve"> (</w:t>
      </w:r>
      <w:r w:rsidRPr="00746238">
        <w:rPr>
          <w:b/>
          <w:bCs/>
        </w:rPr>
        <w:t xml:space="preserve">lettera </w:t>
      </w:r>
      <w:r w:rsidRPr="00746238">
        <w:rPr>
          <w:b/>
          <w:bCs/>
          <w:i/>
          <w:iCs/>
        </w:rPr>
        <w:t>b)</w:t>
      </w:r>
      <w:r w:rsidR="00D13D61">
        <w:t xml:space="preserve">; </w:t>
      </w:r>
    </w:p>
    <w:p w14:paraId="66625079" w14:textId="184292B1" w:rsidR="00581864" w:rsidRDefault="0029279E" w:rsidP="009F747B">
      <w:r>
        <w:t xml:space="preserve">- </w:t>
      </w:r>
      <w:r w:rsidR="00D13D61">
        <w:t>presenta un nesso diretto ed evidente con le caratteristiche peculiari del territorio della Regione, o di parti di esso, e della relativa economia, e che richied</w:t>
      </w:r>
      <w:r w:rsidR="00FB51FC">
        <w:t>e</w:t>
      </w:r>
      <w:r w:rsidR="00D13D61">
        <w:t>, rispetto all’attività comunemente svolta sul territorio nazionale, abilità, conoscenze e competenze ulteriori acquisibili attraverso l’esperienza e la formazione specialistica su base locale</w:t>
      </w:r>
      <w:r w:rsidR="00FB51FC">
        <w:t xml:space="preserve"> (</w:t>
      </w:r>
      <w:r w:rsidR="00FB51FC" w:rsidRPr="00746238">
        <w:rPr>
          <w:b/>
          <w:bCs/>
        </w:rPr>
        <w:t xml:space="preserve">lettera </w:t>
      </w:r>
      <w:r w:rsidR="00FB51FC" w:rsidRPr="00746238">
        <w:rPr>
          <w:b/>
          <w:bCs/>
          <w:i/>
          <w:iCs/>
        </w:rPr>
        <w:t>c)</w:t>
      </w:r>
      <w:r w:rsidR="00D13D61">
        <w:t>.</w:t>
      </w:r>
    </w:p>
    <w:p w14:paraId="102828FC" w14:textId="0F939263" w:rsidR="004A7350" w:rsidRDefault="00EE6D0B" w:rsidP="008D667F">
      <w:r>
        <w:t xml:space="preserve">L’esigenza di un legame diretto tra la professione e le caratteristiche </w:t>
      </w:r>
      <w:r w:rsidR="00EA1ACE">
        <w:t xml:space="preserve">peculiari della regione </w:t>
      </w:r>
      <w:r w:rsidR="00D768C0">
        <w:t>intende dare seguito a</w:t>
      </w:r>
      <w:r w:rsidR="00FB78DF">
        <w:t xml:space="preserve">lla </w:t>
      </w:r>
      <w:r w:rsidR="00D768C0">
        <w:t xml:space="preserve">giurisprudenza della Corte costituzionale che ha già </w:t>
      </w:r>
      <w:r w:rsidR="000F19B3">
        <w:t xml:space="preserve">riconosciuto la spettanza alla competenza regionale della disciplina di </w:t>
      </w:r>
      <w:r w:rsidR="000F19B3" w:rsidRPr="009F747B">
        <w:t>quegli aspetti delle professioni che presentano uno specifico collegamento con la realtà regionale</w:t>
      </w:r>
      <w:r w:rsidR="00DD59D9">
        <w:t xml:space="preserve"> (in</w:t>
      </w:r>
      <w:r w:rsidR="000F19B3" w:rsidRPr="00DD59D9">
        <w:t xml:space="preserve"> merito </w:t>
      </w:r>
      <w:r w:rsidR="00BD24A6" w:rsidRPr="00DD59D9">
        <w:t xml:space="preserve">si rammentano le sentenze n. </w:t>
      </w:r>
      <w:r w:rsidR="009F747B" w:rsidRPr="009F747B">
        <w:t>355 del 2005</w:t>
      </w:r>
      <w:r w:rsidR="000718A6" w:rsidRPr="00DD59D9">
        <w:t xml:space="preserve">, </w:t>
      </w:r>
      <w:r w:rsidR="0075438B" w:rsidRPr="00DD59D9">
        <w:t xml:space="preserve">n. </w:t>
      </w:r>
      <w:r w:rsidR="009F747B" w:rsidRPr="009F747B">
        <w:t>98 del 2013</w:t>
      </w:r>
      <w:r w:rsidR="00DD59D9">
        <w:t>,</w:t>
      </w:r>
      <w:r w:rsidR="000718A6" w:rsidRPr="00DD59D9">
        <w:t xml:space="preserve"> </w:t>
      </w:r>
      <w:r w:rsidR="009F747B" w:rsidRPr="009F747B">
        <w:t xml:space="preserve">n. 209 del 2020 </w:t>
      </w:r>
      <w:r w:rsidR="00492916" w:rsidRPr="00DD59D9">
        <w:t xml:space="preserve">e </w:t>
      </w:r>
      <w:r w:rsidR="009F747B" w:rsidRPr="009F747B">
        <w:t>n. 241 del 2021</w:t>
      </w:r>
      <w:r w:rsidR="00DD59D9">
        <w:t>)</w:t>
      </w:r>
      <w:r w:rsidR="00DD59D9" w:rsidRPr="00DD59D9">
        <w:t xml:space="preserve">. </w:t>
      </w:r>
      <w:r w:rsidR="005C3E20">
        <w:t xml:space="preserve">Inoltre, l’esigenza di un </w:t>
      </w:r>
      <w:r w:rsidR="004A7350">
        <w:t xml:space="preserve">collegamento tra le competenze legislative ed amministrative attribuite dallo Stato </w:t>
      </w:r>
      <w:r w:rsidR="005C3E20">
        <w:t xml:space="preserve">alla regione </w:t>
      </w:r>
      <w:r w:rsidR="004A7350">
        <w:t>e le specificità di carattere territoriale, culturale e socio-economico delle regioni</w:t>
      </w:r>
      <w:r w:rsidR="005C3E20">
        <w:t xml:space="preserve"> richiedenti forme e condizioni particolari di autonomia è sottolineata dalla Corte anche nella più volte richiamata </w:t>
      </w:r>
      <w:r w:rsidR="004A7350">
        <w:t>sentenza n. 192 del 2024</w:t>
      </w:r>
      <w:r w:rsidR="008D667F">
        <w:t xml:space="preserve">. Al </w:t>
      </w:r>
      <w:proofErr w:type="spellStart"/>
      <w:r w:rsidR="004A7350">
        <w:t>pt</w:t>
      </w:r>
      <w:proofErr w:type="spellEnd"/>
      <w:r w:rsidR="004A7350">
        <w:t xml:space="preserve">. 4.4 del </w:t>
      </w:r>
      <w:r w:rsidR="004A7350" w:rsidRPr="00554DD8">
        <w:rPr>
          <w:i/>
          <w:iCs/>
        </w:rPr>
        <w:t>Considerato in diritto</w:t>
      </w:r>
      <w:r w:rsidR="008D667F">
        <w:t>, infatti la Corte</w:t>
      </w:r>
      <w:r w:rsidR="006F5ED8">
        <w:t xml:space="preserve"> nell’escludere che possano formare oggetto di autonomia differenziata le professioni ordinistiche </w:t>
      </w:r>
      <w:r w:rsidR="008D57E5">
        <w:t>(«</w:t>
      </w:r>
      <w:r w:rsidR="008D667F" w:rsidRPr="008D57E5">
        <w:rPr>
          <w:i/>
          <w:iCs/>
        </w:rPr>
        <w:t xml:space="preserve">che – quanto alle regole di accesso e quindi al relativo mercato – cadono nella materia </w:t>
      </w:r>
      <w:r w:rsidR="008D57E5">
        <w:rPr>
          <w:i/>
          <w:iCs/>
        </w:rPr>
        <w:t>“</w:t>
      </w:r>
      <w:r w:rsidR="008D667F" w:rsidRPr="008D57E5">
        <w:rPr>
          <w:i/>
          <w:iCs/>
        </w:rPr>
        <w:t>tutela della concorrenza</w:t>
      </w:r>
      <w:r w:rsidR="008D57E5">
        <w:rPr>
          <w:i/>
          <w:iCs/>
        </w:rPr>
        <w:t>”</w:t>
      </w:r>
      <w:r w:rsidR="008D667F" w:rsidRPr="008D57E5">
        <w:rPr>
          <w:i/>
          <w:iCs/>
        </w:rPr>
        <w:t>»</w:t>
      </w:r>
      <w:r w:rsidR="008D57E5">
        <w:t xml:space="preserve">) </w:t>
      </w:r>
      <w:r w:rsidR="00843AB2">
        <w:t>precisa che «</w:t>
      </w:r>
      <w:r w:rsidR="008D667F" w:rsidRPr="00843AB2">
        <w:rPr>
          <w:i/>
          <w:iCs/>
        </w:rPr>
        <w:t>non si può escludere la possibilità di una differenziazione in riferimento a quelle professioni non ordinistiche che presentano nessi con la realtà locale</w:t>
      </w:r>
      <w:r w:rsidR="00843AB2">
        <w:t>»</w:t>
      </w:r>
      <w:r w:rsidR="008D667F">
        <w:t>.</w:t>
      </w:r>
    </w:p>
    <w:p w14:paraId="24E70A35" w14:textId="2F193E69" w:rsidR="002C73D3" w:rsidRDefault="002C73D3" w:rsidP="002C73D3">
      <w:r>
        <w:t xml:space="preserve">In base al </w:t>
      </w:r>
      <w:r w:rsidRPr="001A6340">
        <w:rPr>
          <w:b/>
          <w:bCs/>
        </w:rPr>
        <w:t>comma 4</w:t>
      </w:r>
      <w:r>
        <w:t xml:space="preserve">, l’esercizio delle </w:t>
      </w:r>
      <w:r w:rsidRPr="004B799D">
        <w:rPr>
          <w:b/>
          <w:bCs/>
        </w:rPr>
        <w:t>professioni di rilievo regionale</w:t>
      </w:r>
      <w:r>
        <w:t xml:space="preserve"> è subordinato all’iscrizione in apposito </w:t>
      </w:r>
      <w:r w:rsidRPr="00554DD8">
        <w:rPr>
          <w:b/>
          <w:bCs/>
        </w:rPr>
        <w:t>elenco</w:t>
      </w:r>
      <w:r w:rsidR="0030403F">
        <w:t xml:space="preserve">, che abilita </w:t>
      </w:r>
      <w:r>
        <w:t>all’esercizio della professione limitatamente al territorio della Regione</w:t>
      </w:r>
      <w:r w:rsidR="00555371">
        <w:t xml:space="preserve">, nel rispetto dei limiti </w:t>
      </w:r>
      <w:r w:rsidR="00971EC1">
        <w:t>previsti dal successivo comma 5</w:t>
      </w:r>
      <w:r>
        <w:t>.</w:t>
      </w:r>
    </w:p>
    <w:p w14:paraId="70494570" w14:textId="124D4784" w:rsidR="001350F4" w:rsidRDefault="00971EC1" w:rsidP="001350F4">
      <w:r>
        <w:t xml:space="preserve">Il </w:t>
      </w:r>
      <w:r w:rsidRPr="00AE4B9E">
        <w:rPr>
          <w:b/>
          <w:bCs/>
        </w:rPr>
        <w:t>comma 5</w:t>
      </w:r>
      <w:r>
        <w:t xml:space="preserve"> </w:t>
      </w:r>
      <w:r w:rsidR="00211D01">
        <w:t xml:space="preserve">anzitutto impone alla Regione, </w:t>
      </w:r>
      <w:r>
        <w:t>nell’esercizio delle funzioni normative e amministrative attribuitele dal comma 1</w:t>
      </w:r>
      <w:r w:rsidR="00D53BF8">
        <w:t>, il rispetto del d</w:t>
      </w:r>
      <w:r>
        <w:t>ecreto legislativo 16 ottobre 2020, n. 142</w:t>
      </w:r>
      <w:r w:rsidR="00D53BF8">
        <w:t xml:space="preserve">. Si tratta del provvedimento che, </w:t>
      </w:r>
      <w:r w:rsidR="001350F4">
        <w:t>recependo la direttiva (UE) 2018/958 del Parlamento europeo e del Consiglio, del 28 giugno 2018</w:t>
      </w:r>
      <w:r w:rsidR="00EF6BEE">
        <w:t xml:space="preserve">, impone un </w:t>
      </w:r>
      <w:r w:rsidR="001350F4" w:rsidRPr="00012B4B">
        <w:rPr>
          <w:i/>
          <w:iCs/>
        </w:rPr>
        <w:t>test</w:t>
      </w:r>
      <w:r w:rsidR="001350F4">
        <w:t xml:space="preserve"> della proporzionalità prima dell'adozione di una nuova regolamentazione delle professioni.</w:t>
      </w:r>
      <w:r w:rsidR="00EF6BEE">
        <w:t xml:space="preserve"> Il </w:t>
      </w:r>
      <w:r w:rsidR="00EF6BEE" w:rsidRPr="00132856">
        <w:rPr>
          <w:i/>
          <w:iCs/>
        </w:rPr>
        <w:t>test</w:t>
      </w:r>
      <w:r w:rsidR="00EF6BEE">
        <w:t xml:space="preserve"> </w:t>
      </w:r>
      <w:r w:rsidR="001350F4">
        <w:t xml:space="preserve">deve essere svolto obbligatoriamente prima dell'adozione di ogni disposizione normativa o amministrativa che introduca nuovi requisiti o modifichi quelli esistenti, quando abbiano l'effetto di restringere l'accesso ad una determinata professione o il suo esercizio. Scopo di tale valutazione, necessariamente preventiva, è ridurre le regolamentazioni che ostacolano l'ingresso e la libera circolazione dei professionisti nel mercato interno. Nel trasporre la direttiva nell'ordinamento nazionale, </w:t>
      </w:r>
      <w:r w:rsidR="00CE5C6C">
        <w:t>il legislatore nazionale</w:t>
      </w:r>
      <w:r w:rsidR="001350F4">
        <w:t xml:space="preserve"> ha inoltre previsto di affidare ad un soggetto terzo, l'Autorità garante della concorrenza e del mercato, il compito di valutare l'obiettività e l'indipendenza, come richieste dalla direttiva, dell'analisi di proporzionalità svolta dalle amministrazioni proponenti.</w:t>
      </w:r>
    </w:p>
    <w:p w14:paraId="1E12D072" w14:textId="6A84C3A5" w:rsidR="00971EC1" w:rsidRDefault="00CE5C6C" w:rsidP="00971EC1">
      <w:r>
        <w:t xml:space="preserve">Il comma 5 specifica </w:t>
      </w:r>
      <w:r w:rsidR="00C15E40">
        <w:t xml:space="preserve">altresì </w:t>
      </w:r>
      <w:r>
        <w:t xml:space="preserve">che </w:t>
      </w:r>
      <w:r w:rsidR="00971EC1">
        <w:t xml:space="preserve">nell’esercizio delle competenze di cui al comma 1, </w:t>
      </w:r>
      <w:r>
        <w:t xml:space="preserve">la Regione </w:t>
      </w:r>
      <w:r w:rsidR="00971EC1">
        <w:t>non può</w:t>
      </w:r>
      <w:r w:rsidR="00383DFE">
        <w:t xml:space="preserve"> </w:t>
      </w:r>
      <w:r w:rsidR="00971EC1">
        <w:t xml:space="preserve">subordinare l’esercizio della professione regionale a requisiti soggettivi che </w:t>
      </w:r>
      <w:r w:rsidR="00971EC1">
        <w:lastRenderedPageBreak/>
        <w:t>discriminano in base alla provenienza territoriale o al luogo di residenza</w:t>
      </w:r>
      <w:r w:rsidR="00383DFE">
        <w:t xml:space="preserve"> (</w:t>
      </w:r>
      <w:r w:rsidR="00383DFE" w:rsidRPr="00E27C60">
        <w:rPr>
          <w:b/>
          <w:bCs/>
        </w:rPr>
        <w:t xml:space="preserve">lettera </w:t>
      </w:r>
      <w:r w:rsidR="00383DFE" w:rsidRPr="00E27C60">
        <w:rPr>
          <w:b/>
          <w:bCs/>
          <w:i/>
          <w:iCs/>
        </w:rPr>
        <w:t>a)</w:t>
      </w:r>
      <w:r w:rsidR="00383DFE">
        <w:t>.</w:t>
      </w:r>
      <w:r w:rsidR="00C15E40">
        <w:t xml:space="preserve"> Inoltre, in base alla </w:t>
      </w:r>
      <w:r w:rsidR="00C15E40" w:rsidRPr="00A13C45">
        <w:rPr>
          <w:b/>
          <w:bCs/>
        </w:rPr>
        <w:t xml:space="preserve">lettera </w:t>
      </w:r>
      <w:r w:rsidR="00C15E40" w:rsidRPr="00A13C45">
        <w:rPr>
          <w:b/>
          <w:bCs/>
          <w:i/>
          <w:iCs/>
        </w:rPr>
        <w:t>b)</w:t>
      </w:r>
      <w:r w:rsidR="00C15E40">
        <w:t xml:space="preserve"> del comma 5, la Regione non può </w:t>
      </w:r>
      <w:r w:rsidR="00971EC1">
        <w:t>vietare, impedire o, comunque, rendere più gravoso per i cittadini dell’Unione europea, di uno Stato appartenente allo Spazio economico europeo o della Svizzera, in possesso della qualifica per lo svolgimento della professione regionale o di una professione ad essa affine, in conformità alla normativa nazionale, di un altro Stato membro dell’Unione europea, dello Spazio economico europeo o della Svizzera</w:t>
      </w:r>
      <w:r w:rsidR="008C57D3">
        <w:t xml:space="preserve">, né </w:t>
      </w:r>
      <w:r w:rsidR="00971EC1">
        <w:t>l’esercizio di dette professioni su base temporanea e occasionale, in regime di libera prestazione di servizi</w:t>
      </w:r>
      <w:r w:rsidR="00637B0B">
        <w:t xml:space="preserve"> (</w:t>
      </w:r>
      <w:r w:rsidR="00971EC1">
        <w:t>ai sensi dell’articolo 9 del decreto legislativo 9 novembre 2007, n. 206</w:t>
      </w:r>
      <w:r w:rsidR="00637B0B">
        <w:t>)</w:t>
      </w:r>
      <w:r w:rsidR="00C94421">
        <w:t xml:space="preserve"> (n. 1)</w:t>
      </w:r>
      <w:r w:rsidR="00154A1E">
        <w:t xml:space="preserve">, né quello </w:t>
      </w:r>
      <w:r w:rsidR="00971EC1">
        <w:t>in maniera stabile, fermo restando l’obbligo di iscrizione nell’elenco di cui al comma 3 in caso di svolgimento della professione regionale</w:t>
      </w:r>
      <w:r w:rsidR="00C94421">
        <w:t xml:space="preserve"> (n. 2).</w:t>
      </w:r>
    </w:p>
    <w:p w14:paraId="3B4ECE40" w14:textId="282FE806" w:rsidR="00C94421" w:rsidRDefault="00C94421" w:rsidP="00C94421">
      <w:r>
        <w:t xml:space="preserve">La </w:t>
      </w:r>
      <w:r w:rsidRPr="00637B0B">
        <w:rPr>
          <w:b/>
          <w:bCs/>
        </w:rPr>
        <w:t xml:space="preserve">lettera </w:t>
      </w:r>
      <w:r w:rsidRPr="00637B0B">
        <w:rPr>
          <w:b/>
          <w:bCs/>
          <w:i/>
          <w:iCs/>
        </w:rPr>
        <w:t>c)</w:t>
      </w:r>
      <w:r>
        <w:t xml:space="preserve">, infine, </w:t>
      </w:r>
      <w:r w:rsidR="005E277F">
        <w:t>esclude che la Regione possa comunque disciplinare</w:t>
      </w:r>
      <w:r w:rsidR="00A26BF8">
        <w:t xml:space="preserve"> </w:t>
      </w:r>
      <w:r>
        <w:t xml:space="preserve">attività </w:t>
      </w:r>
      <w:r w:rsidR="00A26BF8">
        <w:t xml:space="preserve">caratteristiche di </w:t>
      </w:r>
      <w:r>
        <w:t>una professione già regolata da legge dello Stato.</w:t>
      </w:r>
    </w:p>
    <w:p w14:paraId="3D071A9A" w14:textId="669CB64A" w:rsidR="00A26BF8" w:rsidRDefault="00A26BF8" w:rsidP="00A26BF8">
      <w:r w:rsidRPr="00031156">
        <w:t xml:space="preserve">Il </w:t>
      </w:r>
      <w:r w:rsidRPr="00031156">
        <w:rPr>
          <w:b/>
          <w:bCs/>
        </w:rPr>
        <w:t>comma 6</w:t>
      </w:r>
      <w:r w:rsidR="00813D55" w:rsidRPr="00031156">
        <w:rPr>
          <w:b/>
          <w:bCs/>
        </w:rPr>
        <w:t xml:space="preserve"> </w:t>
      </w:r>
      <w:r w:rsidR="0066475C" w:rsidRPr="00031156">
        <w:t>prevede che</w:t>
      </w:r>
      <w:r w:rsidR="00813D55" w:rsidRPr="00031156">
        <w:t>,</w:t>
      </w:r>
      <w:r w:rsidR="0066475C" w:rsidRPr="00031156">
        <w:t xml:space="preserve"> </w:t>
      </w:r>
      <w:r w:rsidR="00440D06" w:rsidRPr="00031156">
        <w:t>a</w:t>
      </w:r>
      <w:r w:rsidRPr="00031156">
        <w:t xml:space="preserve">i fini dell’iscrizione nell’elenco </w:t>
      </w:r>
      <w:r w:rsidR="00813D55" w:rsidRPr="00031156">
        <w:t xml:space="preserve">regionale </w:t>
      </w:r>
      <w:r w:rsidRPr="00031156">
        <w:t xml:space="preserve">di cui al comma </w:t>
      </w:r>
      <w:r w:rsidR="00813D55" w:rsidRPr="00031156">
        <w:t>4</w:t>
      </w:r>
      <w:r w:rsidRPr="00031156">
        <w:t xml:space="preserve">, </w:t>
      </w:r>
      <w:r w:rsidR="00C4437B" w:rsidRPr="00031156">
        <w:t>spetti alla Regione accertare il possesso dei requisiti</w:t>
      </w:r>
      <w:r w:rsidR="00B36FF9" w:rsidRPr="00031156">
        <w:t xml:space="preserve"> </w:t>
      </w:r>
      <w:r w:rsidRPr="00031156">
        <w:t xml:space="preserve">da parte dei soggetti che </w:t>
      </w:r>
      <w:r w:rsidR="00B36FF9" w:rsidRPr="00031156">
        <w:t xml:space="preserve">già </w:t>
      </w:r>
      <w:r w:rsidRPr="00031156">
        <w:t xml:space="preserve">esercitano in maniera stabile </w:t>
      </w:r>
      <w:r w:rsidR="00B36FF9" w:rsidRPr="00031156">
        <w:t xml:space="preserve">la professione regionale </w:t>
      </w:r>
      <w:r w:rsidR="00ED6081" w:rsidRPr="00031156">
        <w:t xml:space="preserve">ovvero una professione ad essa affine </w:t>
      </w:r>
      <w:r w:rsidRPr="00031156">
        <w:t>nel territorio di un’altra regione mediante acquisizione, al momento della richiesta di iscrizione, di una dichiarazione rilasciata dall’interessato</w:t>
      </w:r>
      <w:r w:rsidR="00031156" w:rsidRPr="00031156">
        <w:t>, e successive verifiche</w:t>
      </w:r>
      <w:r w:rsidRPr="00031156">
        <w:t>. In caso di mancata presentazione della dichiarazione, è comunque consentita l’iscrizione nell’elenco, fermo restando l’obbligo del richiedente di acquisire l’esperienza e la formazione specialistica su base locale secondo le modalità definite dalla Regione nel rispetto dei principi di proporzionalità e di adeguatezza.</w:t>
      </w:r>
    </w:p>
    <w:p w14:paraId="65D4C2C8" w14:textId="54944D47" w:rsidR="0030403F" w:rsidRDefault="0030403F" w:rsidP="002C73D3"/>
    <w:p w14:paraId="6FB908E9" w14:textId="5C9C8A97" w:rsidR="004A7350" w:rsidRDefault="00AB558A" w:rsidP="004A7350">
      <w:r>
        <w:t>L’</w:t>
      </w:r>
      <w:r w:rsidRPr="00BC2C81">
        <w:rPr>
          <w:b/>
          <w:bCs/>
        </w:rPr>
        <w:t xml:space="preserve">articolo </w:t>
      </w:r>
      <w:r w:rsidR="00BC2C81" w:rsidRPr="00BC2C81">
        <w:rPr>
          <w:b/>
          <w:bCs/>
        </w:rPr>
        <w:t>8</w:t>
      </w:r>
      <w:r w:rsidR="00BC2C81">
        <w:t xml:space="preserve"> attribuisce alla regione funzioni in materia di </w:t>
      </w:r>
      <w:r w:rsidR="00BC2C81" w:rsidRPr="00BC2C81">
        <w:rPr>
          <w:b/>
          <w:bCs/>
        </w:rPr>
        <w:t>riconoscimento delle qualifiche professionali</w:t>
      </w:r>
      <w:r w:rsidR="00BC2C81">
        <w:t>.</w:t>
      </w:r>
    </w:p>
    <w:p w14:paraId="2A97CAD6" w14:textId="5F7331C2" w:rsidR="009F747B" w:rsidRDefault="0007194C" w:rsidP="0007194C">
      <w:r>
        <w:t>Si ricorda che questa materia è disciplina dal decreto legislativo 9 novembre 2007, n. 206</w:t>
      </w:r>
      <w:r w:rsidR="00AF2901">
        <w:t xml:space="preserve">, che ha dato attuazione </w:t>
      </w:r>
      <w:r>
        <w:t xml:space="preserve">nell'ordinamento italiano </w:t>
      </w:r>
      <w:r w:rsidR="00AF2901">
        <w:t>al</w:t>
      </w:r>
      <w:r>
        <w:t>la direttiva europea 2005/36/CE</w:t>
      </w:r>
      <w:r w:rsidR="00AF2901">
        <w:t xml:space="preserve"> </w:t>
      </w:r>
      <w:r>
        <w:t>relativa al riconoscimento delle qualifiche professionali. Nello specifico, il decreto stabilisce le norme per consentire ai cittadini dell'Unione Europea che hanno acquisito qualifiche professionali in uno Stato membro diverso dall'Italia di esercitare la propria professione anche sul territorio italiano</w:t>
      </w:r>
      <w:r w:rsidR="00AF2901">
        <w:t xml:space="preserve"> e s</w:t>
      </w:r>
      <w:r>
        <w:t xml:space="preserve">i applica a un'ampia gamma di professioni regolamentate, garantendo la libera circolazione dei professionisti all'interno dell'UE. </w:t>
      </w:r>
      <w:r w:rsidR="008E180D">
        <w:t xml:space="preserve">In attuazione della regolamentazione eurounitaria, il </w:t>
      </w:r>
      <w:r>
        <w:t xml:space="preserve">decreto </w:t>
      </w:r>
      <w:r w:rsidR="008E180D">
        <w:t>disciplina le</w:t>
      </w:r>
      <w:r>
        <w:t xml:space="preserve"> procedure e le autorità competenti per il riconoscimento delle qualifiche</w:t>
      </w:r>
      <w:r w:rsidR="008E180D">
        <w:t>, l</w:t>
      </w:r>
      <w:r>
        <w:t>e condizioni per l'accesso e l'esercizio delle professioni regolamentate</w:t>
      </w:r>
      <w:r w:rsidR="008E180D">
        <w:t xml:space="preserve"> ed e</w:t>
      </w:r>
      <w:r>
        <w:t>ventuali misure compensative</w:t>
      </w:r>
      <w:r w:rsidR="008E180D">
        <w:t xml:space="preserve"> -</w:t>
      </w:r>
      <w:r>
        <w:t xml:space="preserve"> come tirocini di adattamento o prove attitudinali</w:t>
      </w:r>
      <w:r w:rsidR="008E180D">
        <w:t xml:space="preserve"> -</w:t>
      </w:r>
      <w:r>
        <w:t xml:space="preserve"> se la formazione acquisita presenta differenze sostanziali rispetto a quella richiesta in Italia.</w:t>
      </w:r>
    </w:p>
    <w:p w14:paraId="4BD3C274" w14:textId="651ECF28" w:rsidR="00DF5BEE" w:rsidRDefault="00C975E9" w:rsidP="0076077E">
      <w:r>
        <w:t xml:space="preserve">In particolare, l’articolo 8, </w:t>
      </w:r>
      <w:r w:rsidRPr="00871C74">
        <w:rPr>
          <w:b/>
          <w:bCs/>
        </w:rPr>
        <w:t>comma 1</w:t>
      </w:r>
      <w:r>
        <w:t xml:space="preserve">, </w:t>
      </w:r>
      <w:r w:rsidR="003944A0">
        <w:t>individua nella Regione l’autorità competente al riconoscimento delle qualifiche possedute da</w:t>
      </w:r>
      <w:r w:rsidR="001226EF">
        <w:t xml:space="preserve">i </w:t>
      </w:r>
      <w:r w:rsidR="006043D8" w:rsidRPr="00DF5BEE">
        <w:t>cittadini dell’Unione europea, di uno Stato appartenente allo Spazio economico europeo o della Svizzera</w:t>
      </w:r>
      <w:r w:rsidR="007C61C3">
        <w:t>,</w:t>
      </w:r>
      <w:r w:rsidR="006043D8">
        <w:t xml:space="preserve"> </w:t>
      </w:r>
      <w:r w:rsidR="001226EF">
        <w:t xml:space="preserve">che chiedano di poter esercitare in maniera stabile </w:t>
      </w:r>
      <w:r w:rsidR="007C61C3">
        <w:t xml:space="preserve">una professione regionale. La disposizione prevede che </w:t>
      </w:r>
      <w:r w:rsidR="00B10796">
        <w:t xml:space="preserve">la Regione possa richiedere una </w:t>
      </w:r>
      <w:r w:rsidR="007C61C3">
        <w:t xml:space="preserve">integrazione della formazione </w:t>
      </w:r>
      <w:r w:rsidR="00B10796">
        <w:t>(</w:t>
      </w:r>
      <w:r w:rsidR="007C61C3">
        <w:t>mediante una misura compensativa ai sensi degli articoli 22 e 23 del decreto legislativo n. 206 del 2007</w:t>
      </w:r>
      <w:r w:rsidR="00100D75">
        <w:t>)</w:t>
      </w:r>
      <w:r w:rsidR="007C61C3">
        <w:t xml:space="preserve">, consistente, a scelta del </w:t>
      </w:r>
      <w:r w:rsidR="007C61C3">
        <w:lastRenderedPageBreak/>
        <w:t>richiedente, nel superamento di una prova attitudinale in lingua italiana o, in alternativa, nel compimento di un tirocinio di adattamento.</w:t>
      </w:r>
    </w:p>
    <w:p w14:paraId="4F965B4B" w14:textId="0C2316BA" w:rsidR="00CD3609" w:rsidRDefault="00100D75" w:rsidP="00CD3609">
      <w:r>
        <w:t xml:space="preserve">Il </w:t>
      </w:r>
      <w:r w:rsidRPr="00EE0E5A">
        <w:rPr>
          <w:b/>
          <w:bCs/>
        </w:rPr>
        <w:t>comma 2</w:t>
      </w:r>
      <w:r>
        <w:t xml:space="preserve"> </w:t>
      </w:r>
      <w:r w:rsidR="00250E4B">
        <w:t xml:space="preserve">ribadisce che la </w:t>
      </w:r>
      <w:r w:rsidR="00CD3609">
        <w:t xml:space="preserve">Regione </w:t>
      </w:r>
      <w:r w:rsidR="00250E4B">
        <w:t xml:space="preserve">è </w:t>
      </w:r>
      <w:r w:rsidR="00FE657B">
        <w:t xml:space="preserve">autorità competente </w:t>
      </w:r>
      <w:r w:rsidR="00E43C24">
        <w:t xml:space="preserve">a pronunciarsi </w:t>
      </w:r>
      <w:r w:rsidR="00E43C24" w:rsidRPr="00E43C24">
        <w:t xml:space="preserve">sulle domande di riconoscimento </w:t>
      </w:r>
      <w:r w:rsidR="00FE657B">
        <w:t>delle qualifiche professionali</w:t>
      </w:r>
      <w:r w:rsidR="00610176">
        <w:t xml:space="preserve"> conseguite </w:t>
      </w:r>
      <w:r w:rsidR="00640321">
        <w:t xml:space="preserve">sulla base delle esperienze professionali (cfr. Titolo III, capo III, d.lgs. n. </w:t>
      </w:r>
      <w:r w:rsidR="008607B3">
        <w:t xml:space="preserve">206 del 2007) </w:t>
      </w:r>
      <w:r w:rsidR="00610176">
        <w:t>in uno Stato membro dell'Unione europea, in uno Stato dello Spazio economico europeo, in Svizzera ovvero in Paesi terzi, ai sensi del</w:t>
      </w:r>
      <w:r w:rsidR="00EE0E5A">
        <w:t xml:space="preserve"> regolamento attuativo del</w:t>
      </w:r>
      <w:r w:rsidR="006D6535">
        <w:t xml:space="preserve"> TU immigrazione (cfr. </w:t>
      </w:r>
      <w:r w:rsidR="00610176">
        <w:t>art</w:t>
      </w:r>
      <w:r w:rsidR="006D6535">
        <w:t xml:space="preserve">. </w:t>
      </w:r>
      <w:r w:rsidR="00610176">
        <w:t xml:space="preserve">49 del </w:t>
      </w:r>
      <w:r w:rsidR="006D6535">
        <w:t>DPR</w:t>
      </w:r>
      <w:r w:rsidR="00EE0E5A">
        <w:t xml:space="preserve"> n. 394 del 1999).</w:t>
      </w:r>
    </w:p>
    <w:p w14:paraId="172EC1C2" w14:textId="77777777" w:rsidR="00717AE7" w:rsidRPr="00690763" w:rsidRDefault="00717AE7" w:rsidP="00CD3609"/>
    <w:p w14:paraId="141CA927" w14:textId="45DC8217" w:rsidR="0002722B" w:rsidRDefault="0002722B" w:rsidP="0002722B">
      <w:r w:rsidRPr="00690763">
        <w:t>L’</w:t>
      </w:r>
      <w:r w:rsidRPr="00690763">
        <w:rPr>
          <w:b/>
          <w:bCs/>
        </w:rPr>
        <w:t xml:space="preserve">articolo </w:t>
      </w:r>
      <w:r w:rsidR="00E1201F" w:rsidRPr="00690763">
        <w:rPr>
          <w:b/>
          <w:bCs/>
        </w:rPr>
        <w:t>9</w:t>
      </w:r>
      <w:r w:rsidR="00002698" w:rsidRPr="00690763">
        <w:t xml:space="preserve"> precisa che </w:t>
      </w:r>
      <w:r w:rsidRPr="00690763">
        <w:t xml:space="preserve">all’esercizio delle funzioni attribuite </w:t>
      </w:r>
      <w:r w:rsidR="00002698" w:rsidRPr="00690763">
        <w:t xml:space="preserve">nell’ambito della materia “professioni” </w:t>
      </w:r>
      <w:r w:rsidRPr="00690763">
        <w:t>la Regione dovrà provvedere nei limiti delle risorse disponibili a legislazione vigente</w:t>
      </w:r>
      <w:r w:rsidR="00002698" w:rsidRPr="00690763">
        <w:t xml:space="preserve"> e nel rispetto dei vincoli di finanza pubblica</w:t>
      </w:r>
      <w:r w:rsidRPr="00690763">
        <w:t>.</w:t>
      </w:r>
    </w:p>
    <w:p w14:paraId="153AEC70" w14:textId="77777777" w:rsidR="00690763" w:rsidRPr="00690763" w:rsidRDefault="00690763" w:rsidP="0002722B"/>
    <w:p w14:paraId="10B2013F" w14:textId="613BD296" w:rsidR="00DF5BEE" w:rsidRPr="00D2183D" w:rsidRDefault="00B62CFA" w:rsidP="0076077E">
      <w:r w:rsidRPr="00D2183D">
        <w:t xml:space="preserve">Il </w:t>
      </w:r>
      <w:r w:rsidRPr="00D2183D">
        <w:rPr>
          <w:b/>
          <w:bCs/>
        </w:rPr>
        <w:t>Capo III</w:t>
      </w:r>
      <w:r w:rsidRPr="00D2183D">
        <w:t xml:space="preserve"> dello sch</w:t>
      </w:r>
      <w:r w:rsidRPr="00690763">
        <w:t>ema di intesa, composto dall’</w:t>
      </w:r>
      <w:r w:rsidRPr="00690763">
        <w:rPr>
          <w:b/>
          <w:bCs/>
        </w:rPr>
        <w:t xml:space="preserve">articolo </w:t>
      </w:r>
      <w:r w:rsidR="003C737E" w:rsidRPr="00690763">
        <w:rPr>
          <w:b/>
          <w:bCs/>
        </w:rPr>
        <w:t>10</w:t>
      </w:r>
      <w:r w:rsidRPr="00690763">
        <w:t xml:space="preserve">, </w:t>
      </w:r>
      <w:r w:rsidR="00E52C2F" w:rsidRPr="00690763">
        <w:t>trasferisce alla Regione specifiche funzioni in ma</w:t>
      </w:r>
      <w:r w:rsidR="00E52C2F" w:rsidRPr="00D2183D">
        <w:t>teria di “</w:t>
      </w:r>
      <w:r w:rsidR="00E52C2F" w:rsidRPr="00D2183D">
        <w:rPr>
          <w:b/>
          <w:bCs/>
        </w:rPr>
        <w:t>previdenza complementare e integrativa</w:t>
      </w:r>
      <w:r w:rsidR="00E52C2F" w:rsidRPr="00D2183D">
        <w:t>”.</w:t>
      </w:r>
    </w:p>
    <w:p w14:paraId="2825058A" w14:textId="2096BFD6" w:rsidR="000521B4" w:rsidRPr="00D2183D" w:rsidRDefault="00253DE3" w:rsidP="0076077E">
      <w:r w:rsidRPr="00D2183D">
        <w:t>Si rammenta che, diversamente dalla previdenza sociale</w:t>
      </w:r>
      <w:r w:rsidR="0070253D" w:rsidRPr="00D2183D">
        <w:t xml:space="preserve">, attribuita alla competenza legislativa esclusiva dello Stato, ai sensi dell’articolo 117, secondo comma, della Costituzione, la previdenza </w:t>
      </w:r>
      <w:r w:rsidR="005048DA" w:rsidRPr="00D2183D">
        <w:t>complementare e integrativa è oggetto di competenza concorrente in base al terzo comma dell’articolo 117</w:t>
      </w:r>
      <w:r w:rsidR="009576AA" w:rsidRPr="00D2183D">
        <w:t>.</w:t>
      </w:r>
    </w:p>
    <w:p w14:paraId="136CA120" w14:textId="2712186A" w:rsidR="006C0E12" w:rsidRPr="006F5814" w:rsidRDefault="009576AA" w:rsidP="006C0E12">
      <w:r w:rsidRPr="00D2183D">
        <w:t xml:space="preserve">In questa materia, </w:t>
      </w:r>
      <w:r w:rsidR="00E52C2F" w:rsidRPr="00D2183D">
        <w:t>lo schema di intesa prevede che, nel rispetto dei principi generali dell’ordinamento giuridico e delle norme UE</w:t>
      </w:r>
      <w:r w:rsidR="00765DFB" w:rsidRPr="00D2183D">
        <w:t>, la Regione p</w:t>
      </w:r>
      <w:r w:rsidR="006C0E12" w:rsidRPr="00D2183D">
        <w:t xml:space="preserve">ossa </w:t>
      </w:r>
      <w:r w:rsidR="006C0E12" w:rsidRPr="00D2183D">
        <w:rPr>
          <w:b/>
          <w:bCs/>
        </w:rPr>
        <w:t>promuovere forme di previdenza complementare e integrativa su base regionale</w:t>
      </w:r>
      <w:r w:rsidR="006C0E12" w:rsidRPr="00D2183D">
        <w:t xml:space="preserve">, anche attraverso la </w:t>
      </w:r>
      <w:r w:rsidR="006C0E12" w:rsidRPr="006F5814">
        <w:t xml:space="preserve">stipula di apposite convenzioni con fondi pensione già esistenti, e possa disciplinare </w:t>
      </w:r>
      <w:r w:rsidR="00A32D81" w:rsidRPr="006F5814">
        <w:t xml:space="preserve">esclusivamente </w:t>
      </w:r>
      <w:r w:rsidR="006C0E12" w:rsidRPr="006F5814">
        <w:t xml:space="preserve">il funzionamento </w:t>
      </w:r>
      <w:r w:rsidR="008E6885" w:rsidRPr="006F5814">
        <w:t xml:space="preserve">operativo e organizzativo </w:t>
      </w:r>
      <w:r w:rsidR="006C0E12" w:rsidRPr="006F5814">
        <w:t>delle forme di previdenza complementare e integrativa ad ambito regionale</w:t>
      </w:r>
      <w:r w:rsidR="00DF66FF" w:rsidRPr="006F5814">
        <w:t xml:space="preserve"> (</w:t>
      </w:r>
      <w:r w:rsidR="00DF66FF" w:rsidRPr="006F5814">
        <w:rPr>
          <w:b/>
          <w:bCs/>
        </w:rPr>
        <w:t>comma 1</w:t>
      </w:r>
      <w:r w:rsidR="00DF66FF" w:rsidRPr="006F5814">
        <w:t>)</w:t>
      </w:r>
      <w:r w:rsidR="006C0E12" w:rsidRPr="006F5814">
        <w:t>.</w:t>
      </w:r>
    </w:p>
    <w:p w14:paraId="1BBC5418" w14:textId="6668E33B" w:rsidR="00D11FFE" w:rsidRPr="00366D13" w:rsidRDefault="00DF66FF" w:rsidP="00B3429D">
      <w:pPr>
        <w:rPr>
          <w:b/>
          <w:bCs/>
        </w:rPr>
      </w:pPr>
      <w:r w:rsidRPr="00D2183D">
        <w:t xml:space="preserve">La disposizione richiama comunque l’esigenza che la </w:t>
      </w:r>
      <w:r w:rsidRPr="006F5814">
        <w:t>Regione</w:t>
      </w:r>
      <w:r w:rsidR="00D11234" w:rsidRPr="006F5814">
        <w:t xml:space="preserve"> rispetti le decisioni Eurostat e </w:t>
      </w:r>
      <w:r w:rsidR="005F4024" w:rsidRPr="006F5814">
        <w:t>si attenga alle disposizioni della Direttiva (UE) 2016/2341</w:t>
      </w:r>
      <w:r w:rsidR="00B3429D" w:rsidRPr="006F5814">
        <w:t>,</w:t>
      </w:r>
      <w:r w:rsidR="007F3856" w:rsidRPr="006F5814">
        <w:t xml:space="preserve"> </w:t>
      </w:r>
      <w:r w:rsidR="00B3429D" w:rsidRPr="006F5814">
        <w:t xml:space="preserve">relativa alle attività e alla vigilanza degli enti pensionistici aziendali o professionali, </w:t>
      </w:r>
      <w:r w:rsidR="007F3856" w:rsidRPr="006F5814">
        <w:t>e del</w:t>
      </w:r>
      <w:r w:rsidR="007F3856" w:rsidRPr="006D784A">
        <w:t xml:space="preserve"> decreto legislativo 5 dicembre 2005, n. 252</w:t>
      </w:r>
      <w:r w:rsidR="00D11FFE" w:rsidRPr="006D784A">
        <w:t xml:space="preserve">, </w:t>
      </w:r>
      <w:r w:rsidR="00EB36B3" w:rsidRPr="006D784A">
        <w:t xml:space="preserve">che disciplina le forme pensionistiche complementari, </w:t>
      </w:r>
      <w:r w:rsidR="00D11FFE" w:rsidRPr="006D784A">
        <w:t xml:space="preserve">con particolare riferimento alle </w:t>
      </w:r>
      <w:r w:rsidR="00D050BC" w:rsidRPr="000F7C4C">
        <w:t xml:space="preserve">competenze in materia di </w:t>
      </w:r>
      <w:r w:rsidR="00D11FFE" w:rsidRPr="000F7C4C">
        <w:t>vigilanza ivi previste</w:t>
      </w:r>
      <w:r w:rsidR="009C7D2A" w:rsidRPr="000F7C4C">
        <w:t>. In particolare, anche per garantire il rispetto della normativa dell’Unione europea, l</w:t>
      </w:r>
      <w:r w:rsidR="005D4FE2" w:rsidRPr="000F7C4C">
        <w:t xml:space="preserve">o schema di intesa intende fare salve le funzioni di vigilanza e </w:t>
      </w:r>
      <w:r w:rsidR="007A5240" w:rsidRPr="000F7C4C">
        <w:t xml:space="preserve">regolamentazione tecnica attribuite </w:t>
      </w:r>
      <w:r w:rsidR="007A5240" w:rsidRPr="006D784A">
        <w:t xml:space="preserve">alla </w:t>
      </w:r>
      <w:r w:rsidR="00B3429D" w:rsidRPr="006D784A">
        <w:t>Covip</w:t>
      </w:r>
      <w:r w:rsidR="00BC7389" w:rsidRPr="006D784A">
        <w:t>,</w:t>
      </w:r>
      <w:r w:rsidR="00B3429D" w:rsidRPr="006D784A">
        <w:t xml:space="preserve"> </w:t>
      </w:r>
      <w:r w:rsidR="00D42079" w:rsidRPr="006D784A">
        <w:t xml:space="preserve">Commissione di vigilanza sui fondi pensione </w:t>
      </w:r>
      <w:r w:rsidR="00B3429D" w:rsidRPr="006D784A">
        <w:t>(a</w:t>
      </w:r>
      <w:r w:rsidR="00D42079" w:rsidRPr="006D784A">
        <w:t>d esempio, si rammenta che spetta alla Covip</w:t>
      </w:r>
      <w:r w:rsidR="005924B7" w:rsidRPr="006D784A">
        <w:t xml:space="preserve"> definire, </w:t>
      </w:r>
      <w:r w:rsidR="00B3429D" w:rsidRPr="006D784A">
        <w:t>in collaborazione con le altre Autorità di settore</w:t>
      </w:r>
      <w:r w:rsidR="005924B7" w:rsidRPr="006D784A">
        <w:t xml:space="preserve">, </w:t>
      </w:r>
      <w:r w:rsidR="00B3429D" w:rsidRPr="006D784A">
        <w:t>i soggetti abilitati a gestire le risorse delle forme pensionistiche complementari ed i criteri di redazione delle convenzioni per la gestione delle risorse, cui devono attenersi le medesime forme pensionistiche e i gestori nella stipula dei relativi contratti</w:t>
      </w:r>
      <w:r w:rsidR="00BC7389" w:rsidRPr="006D784A">
        <w:t>)</w:t>
      </w:r>
      <w:r w:rsidR="00B3429D" w:rsidRPr="006D784A">
        <w:t>.</w:t>
      </w:r>
      <w:r w:rsidR="00366D13">
        <w:t xml:space="preserve"> </w:t>
      </w:r>
    </w:p>
    <w:p w14:paraId="436F0582" w14:textId="4C7AD215" w:rsidR="00CC47C9" w:rsidRPr="006D784A" w:rsidRDefault="00CC47C9" w:rsidP="00B3429D">
      <w:r>
        <w:t xml:space="preserve">Per quanto riguarda la </w:t>
      </w:r>
      <w:r w:rsidR="00862049">
        <w:t xml:space="preserve">possibilità riconosciuta alla Regione di stipulare </w:t>
      </w:r>
      <w:r w:rsidRPr="00CC47C9">
        <w:t>convenzioni</w:t>
      </w:r>
      <w:r w:rsidR="00862049">
        <w:t xml:space="preserve"> con fondi pensione già esistenti, si rammenta che analoga prerogativa è attualmente riconosciuta dall’ordinamento </w:t>
      </w:r>
      <w:r w:rsidR="002C4A6A">
        <w:t>alla Regione Valle d’Aosta</w:t>
      </w:r>
      <w:r w:rsidR="00FC2042">
        <w:t xml:space="preserve">, in base all’articolo </w:t>
      </w:r>
      <w:r w:rsidR="00FC2042" w:rsidRPr="00AA5B4D">
        <w:rPr>
          <w:szCs w:val="22"/>
        </w:rPr>
        <w:t>1-</w:t>
      </w:r>
      <w:r w:rsidR="00FC2042" w:rsidRPr="00AA5B4D">
        <w:rPr>
          <w:i/>
          <w:iCs/>
          <w:szCs w:val="22"/>
        </w:rPr>
        <w:t>bis</w:t>
      </w:r>
      <w:r w:rsidR="00FC2042">
        <w:rPr>
          <w:szCs w:val="22"/>
        </w:rPr>
        <w:t xml:space="preserve">, comma 1, </w:t>
      </w:r>
      <w:r w:rsidR="00FC2042" w:rsidRPr="00AA5B4D">
        <w:rPr>
          <w:szCs w:val="22"/>
        </w:rPr>
        <w:t>del d</w:t>
      </w:r>
      <w:r w:rsidR="00FC2042">
        <w:rPr>
          <w:szCs w:val="22"/>
        </w:rPr>
        <w:t xml:space="preserve">ecreto </w:t>
      </w:r>
      <w:r w:rsidR="00FC2042">
        <w:rPr>
          <w:szCs w:val="22"/>
        </w:rPr>
        <w:lastRenderedPageBreak/>
        <w:t xml:space="preserve">legislativo </w:t>
      </w:r>
      <w:r w:rsidR="00FC2042" w:rsidRPr="00AA5B4D">
        <w:rPr>
          <w:szCs w:val="22"/>
        </w:rPr>
        <w:t>n. 430 del 1989 (</w:t>
      </w:r>
      <w:r w:rsidR="00FC2042" w:rsidRPr="00AA5B4D">
        <w:rPr>
          <w:i/>
          <w:iCs/>
          <w:szCs w:val="22"/>
        </w:rPr>
        <w:t>Norme di attuazione dello statuto speciale per la regione Valle d'Aosta in materia di previdenza ed assicurazioni sociali</w:t>
      </w:r>
      <w:r w:rsidR="00FC2042" w:rsidRPr="00AA5B4D">
        <w:rPr>
          <w:szCs w:val="22"/>
        </w:rPr>
        <w:t>)</w:t>
      </w:r>
      <w:r w:rsidRPr="00CC47C9">
        <w:rPr>
          <w:i/>
        </w:rPr>
        <w:t>.</w:t>
      </w:r>
    </w:p>
    <w:p w14:paraId="7E90E820" w14:textId="347A0570" w:rsidR="0076077E" w:rsidRDefault="00D11FFE" w:rsidP="00964C42">
      <w:r>
        <w:t xml:space="preserve">Il </w:t>
      </w:r>
      <w:r w:rsidRPr="00964C42">
        <w:rPr>
          <w:b/>
          <w:bCs/>
        </w:rPr>
        <w:t>comma 2</w:t>
      </w:r>
      <w:r>
        <w:t xml:space="preserve"> </w:t>
      </w:r>
      <w:r w:rsidRPr="000F7C4C">
        <w:t xml:space="preserve">dell’articolo </w:t>
      </w:r>
      <w:r w:rsidR="003C737E" w:rsidRPr="000F7C4C">
        <w:t>10</w:t>
      </w:r>
      <w:r w:rsidRPr="000F7C4C">
        <w:t xml:space="preserve"> aggiunge che</w:t>
      </w:r>
      <w:r w:rsidR="00894257" w:rsidRPr="000F7C4C">
        <w:t xml:space="preserve"> quando </w:t>
      </w:r>
      <w:r w:rsidR="00894257">
        <w:t xml:space="preserve">l’esercizio delle funzioni regionali in materia di previdenza complementare e integrativa </w:t>
      </w:r>
      <w:r w:rsidR="009C75AF">
        <w:t>riguarda il personale dipendente dalla regione, dagli enti pubblici regionali</w:t>
      </w:r>
      <w:r w:rsidR="00964C42">
        <w:t xml:space="preserve">, dagli enti locali appartenenti alla regione e dal sistema sanitario regionale, </w:t>
      </w:r>
      <w:r w:rsidR="00964C42" w:rsidRPr="00C56BBD">
        <w:t xml:space="preserve">spetta alla Regione la rappresentanza negoziale per la stipula dei contratti o accordi collettivi </w:t>
      </w:r>
      <w:r w:rsidR="00DC2E43" w:rsidRPr="00C56BBD">
        <w:t xml:space="preserve">volti all’adesione ai </w:t>
      </w:r>
      <w:r w:rsidR="00964C42" w:rsidRPr="00C56BBD">
        <w:t>fondi pensione a livello regionale</w:t>
      </w:r>
      <w:r w:rsidR="00964C42">
        <w:t>.</w:t>
      </w:r>
    </w:p>
    <w:p w14:paraId="18261973" w14:textId="77777777" w:rsidR="0076077E" w:rsidRDefault="0076077E" w:rsidP="0076077E"/>
    <w:p w14:paraId="08AB1424" w14:textId="37B4EAF7" w:rsidR="0076077E" w:rsidRDefault="00B53DA4" w:rsidP="0076077E">
      <w:r>
        <w:t xml:space="preserve">Il </w:t>
      </w:r>
      <w:r w:rsidRPr="00260AF7">
        <w:rPr>
          <w:b/>
          <w:bCs/>
        </w:rPr>
        <w:t>Titolo III</w:t>
      </w:r>
      <w:r>
        <w:t xml:space="preserve">, composto dagli </w:t>
      </w:r>
      <w:r w:rsidRPr="00C56BBD">
        <w:rPr>
          <w:b/>
          <w:bCs/>
        </w:rPr>
        <w:t xml:space="preserve">articoli </w:t>
      </w:r>
      <w:r w:rsidR="003C737E" w:rsidRPr="00C56BBD">
        <w:rPr>
          <w:b/>
          <w:bCs/>
        </w:rPr>
        <w:t>da 11 a 13</w:t>
      </w:r>
      <w:r w:rsidRPr="00C56BBD">
        <w:rPr>
          <w:b/>
          <w:bCs/>
        </w:rPr>
        <w:t>,</w:t>
      </w:r>
      <w:r w:rsidRPr="00C56BBD">
        <w:t xml:space="preserve"> </w:t>
      </w:r>
      <w:r>
        <w:t xml:space="preserve">contiene alcune </w:t>
      </w:r>
      <w:r w:rsidRPr="00260AF7">
        <w:rPr>
          <w:b/>
          <w:bCs/>
        </w:rPr>
        <w:t>disposizioni comuni</w:t>
      </w:r>
      <w:r w:rsidR="00F23D99">
        <w:t>, che trovano applicazione in relazione all’attribuzione di funzioni in tutte e tre le materie oggetto dello schema di intesa.</w:t>
      </w:r>
    </w:p>
    <w:p w14:paraId="6869A657" w14:textId="45127041" w:rsidR="0076077E" w:rsidRDefault="00B53DA4" w:rsidP="0076077E">
      <w:r>
        <w:t xml:space="preserve">In particolare, </w:t>
      </w:r>
      <w:r w:rsidRPr="00C56BBD">
        <w:t>l’</w:t>
      </w:r>
      <w:r w:rsidRPr="00C56BBD">
        <w:rPr>
          <w:b/>
          <w:bCs/>
        </w:rPr>
        <w:t>articolo 1</w:t>
      </w:r>
      <w:r w:rsidR="00497314" w:rsidRPr="00C56BBD">
        <w:rPr>
          <w:b/>
          <w:bCs/>
        </w:rPr>
        <w:t>1</w:t>
      </w:r>
      <w:r w:rsidRPr="00C56BBD">
        <w:t xml:space="preserve"> </w:t>
      </w:r>
      <w:r w:rsidR="00260AF7" w:rsidRPr="00C56BBD">
        <w:t xml:space="preserve">istituisce </w:t>
      </w:r>
      <w:r w:rsidR="00260AF7">
        <w:t xml:space="preserve">una </w:t>
      </w:r>
      <w:r w:rsidR="00260AF7" w:rsidRPr="00260AF7">
        <w:rPr>
          <w:b/>
          <w:bCs/>
        </w:rPr>
        <w:t>Commissione paritetica</w:t>
      </w:r>
      <w:r w:rsidR="00260AF7">
        <w:t xml:space="preserve"> Stato-Regione-Autonomie locali</w:t>
      </w:r>
      <w:r w:rsidR="00F23D99">
        <w:t>, così composta</w:t>
      </w:r>
      <w:r w:rsidR="00054A89">
        <w:t xml:space="preserve"> (</w:t>
      </w:r>
      <w:r w:rsidR="00054A89" w:rsidRPr="00054A89">
        <w:rPr>
          <w:b/>
          <w:bCs/>
        </w:rPr>
        <w:t>comma 1</w:t>
      </w:r>
      <w:r w:rsidR="00054A89">
        <w:t>)</w:t>
      </w:r>
      <w:r w:rsidR="00F23D99">
        <w:t>:</w:t>
      </w:r>
    </w:p>
    <w:p w14:paraId="765403D8" w14:textId="77777777" w:rsidR="00E85A2A" w:rsidRDefault="00F23D99" w:rsidP="00E85A2A">
      <w:pPr>
        <w:pStyle w:val="Paragrafoelenco"/>
        <w:numPr>
          <w:ilvl w:val="0"/>
          <w:numId w:val="25"/>
        </w:numPr>
      </w:pPr>
      <w:r>
        <w:t xml:space="preserve">per lo Stato, da un rappresentante del Ministro per gli affari regionali e le autonomie, da un rappresentante del Ministro dell'economia e delle finanze e da un rappresentante del Ministro per la protezione civile e le politiche del mare, del Ministro per la pubblica amministrazione, del Ministro delle infrastrutture e dei trasporti, del Ministro dell’ambiente e della sicurezza energetica, del Ministro dell’interno, del Ministro del lavoro e delle politiche sociali, del Ministro delle imprese e del </w:t>
      </w:r>
      <w:r w:rsidRPr="00AF5286">
        <w:rPr>
          <w:i/>
          <w:iCs/>
        </w:rPr>
        <w:t>made in Italy</w:t>
      </w:r>
      <w:r w:rsidR="00E85A2A">
        <w:t>;</w:t>
      </w:r>
    </w:p>
    <w:p w14:paraId="41270CC8" w14:textId="1B5769FD" w:rsidR="00054A89" w:rsidRDefault="00F23D99" w:rsidP="00E85A2A">
      <w:pPr>
        <w:pStyle w:val="Paragrafoelenco"/>
        <w:numPr>
          <w:ilvl w:val="0"/>
          <w:numId w:val="25"/>
        </w:numPr>
      </w:pPr>
      <w:r>
        <w:t xml:space="preserve">per la Regione </w:t>
      </w:r>
      <w:r w:rsidR="00AF5286" w:rsidRPr="00C3448C">
        <w:t>Lombardia</w:t>
      </w:r>
      <w:r>
        <w:t>, da nove rappresentanti regionali</w:t>
      </w:r>
      <w:r w:rsidR="00054A89">
        <w:t>;</w:t>
      </w:r>
    </w:p>
    <w:p w14:paraId="7D622E39" w14:textId="77777777" w:rsidR="00054A89" w:rsidRDefault="00F23D99" w:rsidP="00E85A2A">
      <w:pPr>
        <w:pStyle w:val="Paragrafoelenco"/>
        <w:numPr>
          <w:ilvl w:val="0"/>
          <w:numId w:val="25"/>
        </w:numPr>
      </w:pPr>
      <w:r>
        <w:t>da un rappresentante designato dall’Associazione nazionale dei comuni italiani (ANCI)</w:t>
      </w:r>
      <w:r w:rsidR="00054A89">
        <w:t>;</w:t>
      </w:r>
    </w:p>
    <w:p w14:paraId="0605FB36" w14:textId="654ADFB5" w:rsidR="00F23D99" w:rsidRDefault="00F23D99" w:rsidP="00E85A2A">
      <w:pPr>
        <w:pStyle w:val="Paragrafoelenco"/>
        <w:numPr>
          <w:ilvl w:val="0"/>
          <w:numId w:val="25"/>
        </w:numPr>
      </w:pPr>
      <w:r>
        <w:t>da un rappresentante designato dall’Unione delle province d</w:t>
      </w:r>
      <w:r w:rsidR="00457BC5">
        <w:t>’</w:t>
      </w:r>
      <w:r>
        <w:t>Italia (UPI).</w:t>
      </w:r>
    </w:p>
    <w:p w14:paraId="2F21B98A" w14:textId="35B035C3" w:rsidR="00054A89" w:rsidRDefault="00054A89" w:rsidP="00054A89">
      <w:r>
        <w:t xml:space="preserve">In base ai </w:t>
      </w:r>
      <w:r w:rsidRPr="00054A89">
        <w:rPr>
          <w:b/>
          <w:bCs/>
        </w:rPr>
        <w:t>commi 2 e 3</w:t>
      </w:r>
      <w:r>
        <w:t xml:space="preserve"> </w:t>
      </w:r>
      <w:r w:rsidRPr="00575A82">
        <w:t>dell’articolo 1</w:t>
      </w:r>
      <w:r w:rsidR="00497314" w:rsidRPr="00575A82">
        <w:t>1</w:t>
      </w:r>
      <w:r>
        <w:t>, ai componenti della Commissione non spettano compensi, indennità, gettoni di presenza, rimborsi di spese o altri emolumenti comunque denominati e al funzionamento della Commissione paritetica si provvede nell’ambito delle risorse umane, finanziarie e strumentali disponibili a legislazione vigente.</w:t>
      </w:r>
    </w:p>
    <w:p w14:paraId="6EFFEA2F" w14:textId="3133DD40" w:rsidR="0013777A" w:rsidRPr="00E95864" w:rsidRDefault="005F3C02" w:rsidP="001A5705">
      <w:r w:rsidRPr="00E95864">
        <w:t xml:space="preserve">Si rammenta che l’istituzione di una </w:t>
      </w:r>
      <w:r w:rsidR="0099742E" w:rsidRPr="00E95864">
        <w:t>Commissione paritetica</w:t>
      </w:r>
      <w:r w:rsidRPr="00E95864">
        <w:t xml:space="preserve"> Stato-Regione-Autonomie locali, disciplinata dall'intesa</w:t>
      </w:r>
      <w:r w:rsidR="001A5705" w:rsidRPr="00E95864">
        <w:t>,</w:t>
      </w:r>
      <w:r w:rsidR="0099742E" w:rsidRPr="00E95864">
        <w:t xml:space="preserve"> è prevista dall’art</w:t>
      </w:r>
      <w:r w:rsidRPr="00E95864">
        <w:t>icolo 5 della legge n. 86 del 2024</w:t>
      </w:r>
      <w:r w:rsidR="00E95864" w:rsidRPr="00E95864">
        <w:t>, che ne regolamenta anche la composizione</w:t>
      </w:r>
      <w:r w:rsidR="001A5705" w:rsidRPr="00E95864">
        <w:t xml:space="preserve">. </w:t>
      </w:r>
      <w:r w:rsidR="00E95864" w:rsidRPr="00575A82">
        <w:t>L’articolo 1</w:t>
      </w:r>
      <w:r w:rsidR="00457BC5" w:rsidRPr="00575A82">
        <w:t>1</w:t>
      </w:r>
      <w:r w:rsidR="00E95864" w:rsidRPr="00575A82">
        <w:t xml:space="preserve"> dell’intesa </w:t>
      </w:r>
      <w:r w:rsidR="00E95864" w:rsidRPr="00E95864">
        <w:t>dà seguito a quella previsione</w:t>
      </w:r>
      <w:r w:rsidRPr="00E95864">
        <w:t xml:space="preserve">. </w:t>
      </w:r>
    </w:p>
    <w:p w14:paraId="0298B0FB" w14:textId="3BD7B04F" w:rsidR="00260AF7" w:rsidRPr="00E95864" w:rsidRDefault="00260AF7" w:rsidP="0076077E"/>
    <w:p w14:paraId="6617D36F" w14:textId="030D6FCD" w:rsidR="00260AF7" w:rsidRDefault="00054A89" w:rsidP="0076077E">
      <w:r w:rsidRPr="00575A82">
        <w:t>L’</w:t>
      </w:r>
      <w:r w:rsidRPr="00575A82">
        <w:rPr>
          <w:b/>
          <w:bCs/>
        </w:rPr>
        <w:t>articolo 1</w:t>
      </w:r>
      <w:r w:rsidR="00792F36" w:rsidRPr="00575A82">
        <w:rPr>
          <w:b/>
          <w:bCs/>
        </w:rPr>
        <w:t>2</w:t>
      </w:r>
      <w:r w:rsidR="008F1C7A" w:rsidRPr="00575A82">
        <w:t xml:space="preserve">, riprendendo </w:t>
      </w:r>
      <w:r w:rsidR="00E66966">
        <w:t xml:space="preserve">quanto previsto dall’articolo 8, comma 1, della legge n. 86 del 2024, </w:t>
      </w:r>
      <w:r>
        <w:t xml:space="preserve">attribuisce alla Commissione paritetica </w:t>
      </w:r>
      <w:r w:rsidR="001C5929">
        <w:t xml:space="preserve">il compito di provvedere, annualmente, </w:t>
      </w:r>
      <w:r w:rsidR="008B6A70" w:rsidRPr="00E66966">
        <w:t>alla valutazione degli oneri finanziari derivanti dall'esercizio delle funzioni e dall'erogazione dei servizi connessi alle ulteriori forme e condizioni particolari di autonomia, secondo quanto previsto dall'intesa, in coerenza con gli obiettivi programmatici di finanza pubblica e, comunque, garantendo l'equilibrio di bilancio</w:t>
      </w:r>
      <w:r w:rsidR="00950467">
        <w:t xml:space="preserve">. Gli esiti della valutazione degli oneri finanziari dovranno poi essere condivisi dalla </w:t>
      </w:r>
      <w:r w:rsidR="00E66966" w:rsidRPr="00E66966">
        <w:t xml:space="preserve">Commissione paritetica </w:t>
      </w:r>
      <w:r w:rsidR="00400DC5">
        <w:t xml:space="preserve">con </w:t>
      </w:r>
      <w:r w:rsidR="00E66966" w:rsidRPr="00E66966">
        <w:t>la Conferenza unificata e le Camere.</w:t>
      </w:r>
    </w:p>
    <w:p w14:paraId="417B9DB3" w14:textId="77777777" w:rsidR="00E66966" w:rsidRDefault="00E66966" w:rsidP="0076077E"/>
    <w:p w14:paraId="4358B579" w14:textId="3E0D0AAF" w:rsidR="0076077E" w:rsidRPr="0033205D" w:rsidRDefault="001C5929" w:rsidP="0076077E">
      <w:r w:rsidRPr="0033205D">
        <w:lastRenderedPageBreak/>
        <w:t>L’</w:t>
      </w:r>
      <w:r w:rsidRPr="0033205D">
        <w:rPr>
          <w:b/>
          <w:bCs/>
        </w:rPr>
        <w:t>articolo 1</w:t>
      </w:r>
      <w:r w:rsidR="00792F36" w:rsidRPr="0033205D">
        <w:rPr>
          <w:b/>
          <w:bCs/>
        </w:rPr>
        <w:t>3</w:t>
      </w:r>
      <w:r w:rsidRPr="0033205D">
        <w:t xml:space="preserve"> contiene la </w:t>
      </w:r>
      <w:r w:rsidRPr="0033205D">
        <w:rPr>
          <w:b/>
          <w:bCs/>
        </w:rPr>
        <w:t xml:space="preserve">clausola di </w:t>
      </w:r>
      <w:r w:rsidR="00372C44" w:rsidRPr="0033205D">
        <w:rPr>
          <w:b/>
          <w:bCs/>
        </w:rPr>
        <w:t>invarianza finanziaria</w:t>
      </w:r>
      <w:r w:rsidR="00372C44" w:rsidRPr="0033205D">
        <w:t xml:space="preserve"> prevedendo, in particolare, che </w:t>
      </w:r>
      <w:r w:rsidR="004C69C0" w:rsidRPr="0033205D">
        <w:t>all’attuazione dell’intesa e all’esercizio delle funzioni oggetto di trasferimento</w:t>
      </w:r>
      <w:r w:rsidR="00565C72" w:rsidRPr="0033205D">
        <w:t xml:space="preserve"> la Regione debba provvedere nei limiti delle risorse disponibili a legislazione vigente, nel rispetto dei vincoli di finanza pubblica</w:t>
      </w:r>
      <w:r w:rsidR="0020041F" w:rsidRPr="0033205D">
        <w:t xml:space="preserve"> e comunque senza nuovi oneri per la finanza pubblica</w:t>
      </w:r>
      <w:r w:rsidR="00B65863" w:rsidRPr="0033205D">
        <w:t>.</w:t>
      </w:r>
      <w:r w:rsidR="0020041F" w:rsidRPr="0033205D">
        <w:t xml:space="preserve"> </w:t>
      </w:r>
    </w:p>
    <w:p w14:paraId="4ED573AD" w14:textId="77777777" w:rsidR="00AF3511" w:rsidRDefault="00AF3511" w:rsidP="0076077E"/>
    <w:p w14:paraId="028CA5B3" w14:textId="1CB14CC5" w:rsidR="00AF3511" w:rsidRDefault="00AF3511" w:rsidP="0076077E">
      <w:r>
        <w:t xml:space="preserve">Il </w:t>
      </w:r>
      <w:r w:rsidRPr="00AF3511">
        <w:rPr>
          <w:b/>
          <w:bCs/>
        </w:rPr>
        <w:t>Titolo IV</w:t>
      </w:r>
      <w:r>
        <w:t xml:space="preserve"> reca </w:t>
      </w:r>
      <w:r w:rsidRPr="00AF3511">
        <w:rPr>
          <w:b/>
          <w:bCs/>
        </w:rPr>
        <w:t>disposizioni finali</w:t>
      </w:r>
      <w:r>
        <w:t xml:space="preserve">. </w:t>
      </w:r>
    </w:p>
    <w:p w14:paraId="1D77C548" w14:textId="1B9E8FB7" w:rsidR="006F225F" w:rsidRDefault="00AF3511" w:rsidP="0076077E">
      <w:r>
        <w:t>In base all’</w:t>
      </w:r>
      <w:r w:rsidRPr="0033205D">
        <w:rPr>
          <w:b/>
          <w:bCs/>
        </w:rPr>
        <w:t>articolo 1</w:t>
      </w:r>
      <w:r w:rsidR="0052758C" w:rsidRPr="0033205D">
        <w:rPr>
          <w:b/>
          <w:bCs/>
        </w:rPr>
        <w:t>4</w:t>
      </w:r>
      <w:r w:rsidR="00051110">
        <w:t xml:space="preserve">, che sul punto riprende fedelmente il contenuto dell’articolo 7 della legge n. 86 del 2024, </w:t>
      </w:r>
      <w:r>
        <w:t>l’intesa ha una durata di 10 anni</w:t>
      </w:r>
      <w:r w:rsidR="000C0E69">
        <w:t xml:space="preserve">, allo scadere dei quali l’intesa si intende rinnovata per ulteriori 10 anni salvo che lo Stato o la Regione non manifestino, almeno 12 mesi prima della scadenza, </w:t>
      </w:r>
      <w:r w:rsidR="00AD06A1">
        <w:t>una diversa volontà (</w:t>
      </w:r>
      <w:r w:rsidR="00AD06A1" w:rsidRPr="00051110">
        <w:rPr>
          <w:b/>
          <w:bCs/>
        </w:rPr>
        <w:t>commi 1 e 2</w:t>
      </w:r>
      <w:r w:rsidR="00AD06A1">
        <w:t xml:space="preserve">). </w:t>
      </w:r>
    </w:p>
    <w:p w14:paraId="781A5CA4" w14:textId="77777777" w:rsidR="00CC7AE6" w:rsidRDefault="00CC7AE6" w:rsidP="0076077E"/>
    <w:p w14:paraId="1EE8F2D4" w14:textId="6D061D1A" w:rsidR="00FA1C86" w:rsidRPr="00CC7AE6" w:rsidRDefault="00FA1C86" w:rsidP="0076077E">
      <w:r w:rsidRPr="00CC7AE6">
        <w:t xml:space="preserve">Si segnala, infine, che </w:t>
      </w:r>
      <w:r w:rsidR="00812E52" w:rsidRPr="00CC7AE6">
        <w:t>i</w:t>
      </w:r>
      <w:r w:rsidR="008421FA" w:rsidRPr="00CC7AE6">
        <w:t>l presente</w:t>
      </w:r>
      <w:r w:rsidRPr="00CC7AE6">
        <w:t xml:space="preserve"> schema di intesa preliminare non </w:t>
      </w:r>
      <w:r w:rsidR="00812E52" w:rsidRPr="00CC7AE6">
        <w:t>reca</w:t>
      </w:r>
      <w:r w:rsidRPr="00CC7AE6">
        <w:t xml:space="preserve"> l’allegato </w:t>
      </w:r>
      <w:r w:rsidR="0003033F" w:rsidRPr="00CC7AE6">
        <w:t>previsto dall’articolo 7, comma 3, della legge n. 86 del 2024, contenente le disposizioni di legge statale che cessano di avere efficacia, nel territorio regionale, con l</w:t>
      </w:r>
      <w:r w:rsidR="79272510" w:rsidRPr="00CC7AE6">
        <w:t>’</w:t>
      </w:r>
      <w:r w:rsidR="0003033F" w:rsidRPr="00CC7AE6">
        <w:t>entrata in vigore delle leggi regionali attuative dell'intesa.</w:t>
      </w:r>
    </w:p>
    <w:p w14:paraId="6EE1E4BE" w14:textId="256153D9" w:rsidR="0003033F" w:rsidRPr="003D4CC7" w:rsidRDefault="0003033F" w:rsidP="0076077E">
      <w:r w:rsidRPr="00CC7AE6">
        <w:t xml:space="preserve">Tale allegato </w:t>
      </w:r>
      <w:r w:rsidR="001758B5" w:rsidRPr="00CC7AE6">
        <w:t xml:space="preserve">potrà </w:t>
      </w:r>
      <w:r w:rsidR="00812E52" w:rsidRPr="00CC7AE6">
        <w:t xml:space="preserve">infatti </w:t>
      </w:r>
      <w:r w:rsidR="001758B5" w:rsidRPr="00CC7AE6">
        <w:t xml:space="preserve">essere compiutamente definito </w:t>
      </w:r>
      <w:r w:rsidR="00B35ED2" w:rsidRPr="00CC7AE6">
        <w:t xml:space="preserve">solo una volta acquisiti gli elementi necessari per la sua predisposizione, anche a seguito dell’espressione del parere da parte della Conferenza unificata e dell’adozione degli atti di indirizzo delle Camere sul presente schema di intesa, </w:t>
      </w:r>
      <w:r w:rsidR="00B81393" w:rsidRPr="00CC7AE6">
        <w:t>oltre che nel corso del successivo passaggio di esame parlamentare del disegno di legge cui sarà allegato lo schema di intesa definitiv</w:t>
      </w:r>
      <w:r w:rsidR="0037047B" w:rsidRPr="00CC7AE6">
        <w:t>o</w:t>
      </w:r>
      <w:r w:rsidR="00B81393" w:rsidRPr="00CC7AE6">
        <w:t>.</w:t>
      </w:r>
      <w:r w:rsidR="00B81393" w:rsidRPr="003D4CC7">
        <w:t xml:space="preserve"> </w:t>
      </w:r>
    </w:p>
    <w:p w14:paraId="25646A74" w14:textId="77777777" w:rsidR="0076077E" w:rsidRDefault="0076077E" w:rsidP="0076077E"/>
    <w:p w14:paraId="1854AAE0" w14:textId="77777777" w:rsidR="0076077E" w:rsidRDefault="0076077E" w:rsidP="0076077E"/>
    <w:sectPr w:rsidR="0076077E">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14527" w14:textId="77777777" w:rsidR="0009189F" w:rsidRDefault="0009189F" w:rsidP="00AD06A1">
      <w:pPr>
        <w:spacing w:before="0" w:line="240" w:lineRule="auto"/>
      </w:pPr>
      <w:r>
        <w:separator/>
      </w:r>
    </w:p>
  </w:endnote>
  <w:endnote w:type="continuationSeparator" w:id="0">
    <w:p w14:paraId="00A11BAF" w14:textId="77777777" w:rsidR="0009189F" w:rsidRDefault="0009189F" w:rsidP="00AD06A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700656"/>
      <w:docPartObj>
        <w:docPartGallery w:val="Page Numbers (Bottom of Page)"/>
        <w:docPartUnique/>
      </w:docPartObj>
    </w:sdtPr>
    <w:sdtEndPr/>
    <w:sdtContent>
      <w:p w14:paraId="03913AB3" w14:textId="5D47766F" w:rsidR="00AD06A1" w:rsidRDefault="00AD06A1">
        <w:pPr>
          <w:pStyle w:val="Pidipagina"/>
          <w:jc w:val="center"/>
        </w:pPr>
        <w:r>
          <w:fldChar w:fldCharType="begin"/>
        </w:r>
        <w:r>
          <w:instrText>PAGE   \* MERGEFORMAT</w:instrText>
        </w:r>
        <w:r>
          <w:fldChar w:fldCharType="separate"/>
        </w:r>
        <w:r>
          <w:t>2</w:t>
        </w:r>
        <w:r>
          <w:fldChar w:fldCharType="end"/>
        </w:r>
      </w:p>
    </w:sdtContent>
  </w:sdt>
  <w:p w14:paraId="0D7B87BB" w14:textId="77777777" w:rsidR="00AD06A1" w:rsidRDefault="00AD06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9A819" w14:textId="77777777" w:rsidR="0009189F" w:rsidRDefault="0009189F" w:rsidP="00AD06A1">
      <w:pPr>
        <w:spacing w:before="0" w:line="240" w:lineRule="auto"/>
      </w:pPr>
      <w:r>
        <w:separator/>
      </w:r>
    </w:p>
  </w:footnote>
  <w:footnote w:type="continuationSeparator" w:id="0">
    <w:p w14:paraId="6725A36F" w14:textId="77777777" w:rsidR="0009189F" w:rsidRDefault="0009189F" w:rsidP="00AD06A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B5D"/>
    <w:multiLevelType w:val="hybridMultilevel"/>
    <w:tmpl w:val="84622362"/>
    <w:lvl w:ilvl="0" w:tplc="C700C804">
      <w:start w:val="1"/>
      <w:numFmt w:val="decimal"/>
      <w:lvlText w:val="%1."/>
      <w:lvlJc w:val="left"/>
      <w:pPr>
        <w:ind w:left="720" w:hanging="360"/>
      </w:pPr>
      <w:rPr>
        <w:rFonts w:hint="default"/>
        <w:b w:val="0"/>
        <w:bCs w:val="0"/>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CE2AD3"/>
    <w:multiLevelType w:val="hybridMultilevel"/>
    <w:tmpl w:val="0CAC5C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240357"/>
    <w:multiLevelType w:val="hybridMultilevel"/>
    <w:tmpl w:val="E154E86E"/>
    <w:lvl w:ilvl="0" w:tplc="5CD237F4">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 w15:restartNumberingAfterBreak="0">
    <w:nsid w:val="0CD32F30"/>
    <w:multiLevelType w:val="hybridMultilevel"/>
    <w:tmpl w:val="312021E4"/>
    <w:lvl w:ilvl="0" w:tplc="BA0AB598">
      <w:numFmt w:val="bullet"/>
      <w:lvlText w:val="-"/>
      <w:lvlJc w:val="left"/>
      <w:pPr>
        <w:ind w:left="757" w:hanging="360"/>
      </w:pPr>
      <w:rPr>
        <w:rFonts w:ascii="Times New Roman" w:eastAsiaTheme="minorHAnsi" w:hAnsi="Times New Roman" w:cs="Times New Roman"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4" w15:restartNumberingAfterBreak="0">
    <w:nsid w:val="132F2177"/>
    <w:multiLevelType w:val="hybridMultilevel"/>
    <w:tmpl w:val="F7BA4442"/>
    <w:lvl w:ilvl="0" w:tplc="0ECC2C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1D41B4"/>
    <w:multiLevelType w:val="hybridMultilevel"/>
    <w:tmpl w:val="00FC137C"/>
    <w:lvl w:ilvl="0" w:tplc="2DB25178">
      <w:start w:val="1"/>
      <w:numFmt w:val="decimal"/>
      <w:lvlText w:val="%1."/>
      <w:lvlJc w:val="left"/>
      <w:pPr>
        <w:ind w:left="1080" w:hanging="360"/>
      </w:pPr>
      <w:rPr>
        <w:rFonts w:eastAsiaTheme="minorHAnsi" w:cstheme="minorBidi"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4DD26F2"/>
    <w:multiLevelType w:val="hybridMultilevel"/>
    <w:tmpl w:val="4AA4C3AE"/>
    <w:lvl w:ilvl="0" w:tplc="5FA6CB64">
      <w:start w:val="1"/>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6B67C58"/>
    <w:multiLevelType w:val="hybridMultilevel"/>
    <w:tmpl w:val="13E820BE"/>
    <w:lvl w:ilvl="0" w:tplc="83A4AC32">
      <w:start w:val="1"/>
      <w:numFmt w:val="lowerLetter"/>
      <w:lvlText w:val="%1)"/>
      <w:lvlJc w:val="left"/>
      <w:pPr>
        <w:ind w:left="1080" w:hanging="360"/>
      </w:pPr>
      <w:rPr>
        <w:rFonts w:hint="default"/>
        <w:i/>
        <w:iCs/>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181053E9"/>
    <w:multiLevelType w:val="hybridMultilevel"/>
    <w:tmpl w:val="A8AA26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894FFF"/>
    <w:multiLevelType w:val="hybridMultilevel"/>
    <w:tmpl w:val="99A49584"/>
    <w:lvl w:ilvl="0" w:tplc="63787A38">
      <w:start w:val="1"/>
      <w:numFmt w:val="lowerLetter"/>
      <w:lvlText w:val="%1)"/>
      <w:lvlJc w:val="left"/>
      <w:pPr>
        <w:ind w:left="1503" w:hanging="360"/>
      </w:pPr>
      <w:rPr>
        <w:i/>
        <w:iCs/>
      </w:rPr>
    </w:lvl>
    <w:lvl w:ilvl="1" w:tplc="04100019" w:tentative="1">
      <w:start w:val="1"/>
      <w:numFmt w:val="lowerLetter"/>
      <w:lvlText w:val="%2."/>
      <w:lvlJc w:val="left"/>
      <w:pPr>
        <w:ind w:left="2223" w:hanging="360"/>
      </w:pPr>
    </w:lvl>
    <w:lvl w:ilvl="2" w:tplc="0410001B" w:tentative="1">
      <w:start w:val="1"/>
      <w:numFmt w:val="lowerRoman"/>
      <w:lvlText w:val="%3."/>
      <w:lvlJc w:val="right"/>
      <w:pPr>
        <w:ind w:left="2943" w:hanging="180"/>
      </w:pPr>
    </w:lvl>
    <w:lvl w:ilvl="3" w:tplc="0410000F" w:tentative="1">
      <w:start w:val="1"/>
      <w:numFmt w:val="decimal"/>
      <w:lvlText w:val="%4."/>
      <w:lvlJc w:val="left"/>
      <w:pPr>
        <w:ind w:left="3663" w:hanging="360"/>
      </w:pPr>
    </w:lvl>
    <w:lvl w:ilvl="4" w:tplc="04100019" w:tentative="1">
      <w:start w:val="1"/>
      <w:numFmt w:val="lowerLetter"/>
      <w:lvlText w:val="%5."/>
      <w:lvlJc w:val="left"/>
      <w:pPr>
        <w:ind w:left="4383" w:hanging="360"/>
      </w:pPr>
    </w:lvl>
    <w:lvl w:ilvl="5" w:tplc="0410001B" w:tentative="1">
      <w:start w:val="1"/>
      <w:numFmt w:val="lowerRoman"/>
      <w:lvlText w:val="%6."/>
      <w:lvlJc w:val="right"/>
      <w:pPr>
        <w:ind w:left="5103" w:hanging="180"/>
      </w:pPr>
    </w:lvl>
    <w:lvl w:ilvl="6" w:tplc="0410000F" w:tentative="1">
      <w:start w:val="1"/>
      <w:numFmt w:val="decimal"/>
      <w:lvlText w:val="%7."/>
      <w:lvlJc w:val="left"/>
      <w:pPr>
        <w:ind w:left="5823" w:hanging="360"/>
      </w:pPr>
    </w:lvl>
    <w:lvl w:ilvl="7" w:tplc="04100019" w:tentative="1">
      <w:start w:val="1"/>
      <w:numFmt w:val="lowerLetter"/>
      <w:lvlText w:val="%8."/>
      <w:lvlJc w:val="left"/>
      <w:pPr>
        <w:ind w:left="6543" w:hanging="360"/>
      </w:pPr>
    </w:lvl>
    <w:lvl w:ilvl="8" w:tplc="0410001B" w:tentative="1">
      <w:start w:val="1"/>
      <w:numFmt w:val="lowerRoman"/>
      <w:lvlText w:val="%9."/>
      <w:lvlJc w:val="right"/>
      <w:pPr>
        <w:ind w:left="7263" w:hanging="180"/>
      </w:pPr>
    </w:lvl>
  </w:abstractNum>
  <w:abstractNum w:abstractNumId="10" w15:restartNumberingAfterBreak="0">
    <w:nsid w:val="217C5215"/>
    <w:multiLevelType w:val="hybridMultilevel"/>
    <w:tmpl w:val="D64CCE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B875E2"/>
    <w:multiLevelType w:val="hybridMultilevel"/>
    <w:tmpl w:val="319E060E"/>
    <w:lvl w:ilvl="0" w:tplc="B2749204">
      <w:start w:val="1"/>
      <w:numFmt w:val="lowerLetter"/>
      <w:lvlText w:val="%1)"/>
      <w:lvlJc w:val="left"/>
      <w:pPr>
        <w:ind w:left="1440" w:hanging="360"/>
      </w:pPr>
      <w:rPr>
        <w:i/>
        <w:iCs/>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278B28E8"/>
    <w:multiLevelType w:val="hybridMultilevel"/>
    <w:tmpl w:val="2B0232AC"/>
    <w:lvl w:ilvl="0" w:tplc="ABFA3F3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28D5235D"/>
    <w:multiLevelType w:val="hybridMultilevel"/>
    <w:tmpl w:val="92F4205A"/>
    <w:lvl w:ilvl="0" w:tplc="0410000F">
      <w:start w:val="1"/>
      <w:numFmt w:val="decimal"/>
      <w:lvlText w:val="%1."/>
      <w:lvlJc w:val="left"/>
      <w:pPr>
        <w:ind w:left="720" w:hanging="360"/>
      </w:pPr>
      <w:rPr>
        <w:rFonts w:hint="default"/>
        <w:b w:val="0"/>
      </w:rPr>
    </w:lvl>
    <w:lvl w:ilvl="1" w:tplc="66F652B6">
      <w:start w:val="1"/>
      <w:numFmt w:val="lowerLetter"/>
      <w:lvlText w:val="%2)"/>
      <w:lvlJc w:val="left"/>
      <w:pPr>
        <w:ind w:left="1500" w:hanging="4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9EC0666"/>
    <w:multiLevelType w:val="hybridMultilevel"/>
    <w:tmpl w:val="312A6616"/>
    <w:lvl w:ilvl="0" w:tplc="CDB6539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0642F4A"/>
    <w:multiLevelType w:val="hybridMultilevel"/>
    <w:tmpl w:val="7722CF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3992024"/>
    <w:multiLevelType w:val="hybridMultilevel"/>
    <w:tmpl w:val="7E2E13BA"/>
    <w:lvl w:ilvl="0" w:tplc="04100017">
      <w:start w:val="1"/>
      <w:numFmt w:val="lowerLetter"/>
      <w:lvlText w:val="%1)"/>
      <w:lvlJc w:val="left"/>
      <w:pPr>
        <w:ind w:left="1428" w:hanging="360"/>
      </w:pPr>
    </w:lvl>
    <w:lvl w:ilvl="1" w:tplc="04100019">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7" w15:restartNumberingAfterBreak="0">
    <w:nsid w:val="4A2E01E7"/>
    <w:multiLevelType w:val="hybridMultilevel"/>
    <w:tmpl w:val="E208DBC8"/>
    <w:lvl w:ilvl="0" w:tplc="3A068AEC">
      <w:start w:val="1"/>
      <w:numFmt w:val="decimal"/>
      <w:lvlText w:val="%1."/>
      <w:lvlJc w:val="left"/>
      <w:pPr>
        <w:ind w:left="720" w:hanging="360"/>
      </w:pPr>
      <w:rPr>
        <w:rFonts w:hint="default"/>
        <w:b w:val="0"/>
        <w:bCs w:val="0"/>
        <w:i w:val="0"/>
        <w:i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A8A5044"/>
    <w:multiLevelType w:val="hybridMultilevel"/>
    <w:tmpl w:val="E4008AF2"/>
    <w:lvl w:ilvl="0" w:tplc="ECA4FD4C">
      <w:start w:val="1"/>
      <w:numFmt w:val="lowerLetter"/>
      <w:lvlText w:val="%1)"/>
      <w:lvlJc w:val="left"/>
      <w:pPr>
        <w:ind w:left="1080" w:hanging="360"/>
      </w:pPr>
      <w:rPr>
        <w:rFonts w:hint="default"/>
        <w:i/>
        <w:iCs/>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4E5D1CF5"/>
    <w:multiLevelType w:val="hybridMultilevel"/>
    <w:tmpl w:val="2F369218"/>
    <w:lvl w:ilvl="0" w:tplc="7118301C">
      <w:start w:val="1"/>
      <w:numFmt w:val="decimal"/>
      <w:lvlText w:val="%1."/>
      <w:lvlJc w:val="left"/>
      <w:pPr>
        <w:ind w:left="1080" w:hanging="360"/>
      </w:pPr>
      <w:rPr>
        <w:rFonts w:hint="default"/>
        <w:b w:val="0"/>
        <w:color w:val="00000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5282109B"/>
    <w:multiLevelType w:val="hybridMultilevel"/>
    <w:tmpl w:val="945E86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5B07736"/>
    <w:multiLevelType w:val="multilevel"/>
    <w:tmpl w:val="2B0233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77271B6"/>
    <w:multiLevelType w:val="hybridMultilevel"/>
    <w:tmpl w:val="31B8E9B4"/>
    <w:lvl w:ilvl="0" w:tplc="5568F13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A9F4BFE"/>
    <w:multiLevelType w:val="multilevel"/>
    <w:tmpl w:val="07B892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E2541C"/>
    <w:multiLevelType w:val="hybridMultilevel"/>
    <w:tmpl w:val="B16036E6"/>
    <w:lvl w:ilvl="0" w:tplc="4B24358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71440341"/>
    <w:multiLevelType w:val="multilevel"/>
    <w:tmpl w:val="26165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E069CF"/>
    <w:multiLevelType w:val="hybridMultilevel"/>
    <w:tmpl w:val="FEF808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B251A1E"/>
    <w:multiLevelType w:val="hybridMultilevel"/>
    <w:tmpl w:val="FC8E6FFE"/>
    <w:lvl w:ilvl="0" w:tplc="96C8F17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21727828">
    <w:abstractNumId w:val="15"/>
  </w:num>
  <w:num w:numId="2" w16cid:durableId="1434862355">
    <w:abstractNumId w:val="14"/>
  </w:num>
  <w:num w:numId="3" w16cid:durableId="1753890197">
    <w:abstractNumId w:val="27"/>
  </w:num>
  <w:num w:numId="4" w16cid:durableId="1261373084">
    <w:abstractNumId w:val="20"/>
  </w:num>
  <w:num w:numId="5" w16cid:durableId="1150564157">
    <w:abstractNumId w:val="10"/>
  </w:num>
  <w:num w:numId="6" w16cid:durableId="401878504">
    <w:abstractNumId w:val="17"/>
  </w:num>
  <w:num w:numId="7" w16cid:durableId="1393775040">
    <w:abstractNumId w:val="1"/>
  </w:num>
  <w:num w:numId="8" w16cid:durableId="747658174">
    <w:abstractNumId w:val="8"/>
  </w:num>
  <w:num w:numId="9" w16cid:durableId="221259855">
    <w:abstractNumId w:val="7"/>
  </w:num>
  <w:num w:numId="10" w16cid:durableId="139272377">
    <w:abstractNumId w:val="0"/>
  </w:num>
  <w:num w:numId="11" w16cid:durableId="169951342">
    <w:abstractNumId w:val="26"/>
  </w:num>
  <w:num w:numId="12" w16cid:durableId="892082761">
    <w:abstractNumId w:val="9"/>
  </w:num>
  <w:num w:numId="13" w16cid:durableId="324818907">
    <w:abstractNumId w:val="11"/>
  </w:num>
  <w:num w:numId="14" w16cid:durableId="104808443">
    <w:abstractNumId w:val="2"/>
  </w:num>
  <w:num w:numId="15" w16cid:durableId="474227860">
    <w:abstractNumId w:val="4"/>
  </w:num>
  <w:num w:numId="16" w16cid:durableId="157619909">
    <w:abstractNumId w:val="22"/>
  </w:num>
  <w:num w:numId="17" w16cid:durableId="1421020456">
    <w:abstractNumId w:val="18"/>
  </w:num>
  <w:num w:numId="18" w16cid:durableId="1882590444">
    <w:abstractNumId w:val="13"/>
  </w:num>
  <w:num w:numId="19" w16cid:durableId="2019383719">
    <w:abstractNumId w:val="6"/>
  </w:num>
  <w:num w:numId="20" w16cid:durableId="1095251438">
    <w:abstractNumId w:val="16"/>
  </w:num>
  <w:num w:numId="21" w16cid:durableId="1246571704">
    <w:abstractNumId w:val="19"/>
  </w:num>
  <w:num w:numId="22" w16cid:durableId="302078119">
    <w:abstractNumId w:val="12"/>
  </w:num>
  <w:num w:numId="23" w16cid:durableId="739715899">
    <w:abstractNumId w:val="24"/>
  </w:num>
  <w:num w:numId="24" w16cid:durableId="1409691317">
    <w:abstractNumId w:val="5"/>
  </w:num>
  <w:num w:numId="25" w16cid:durableId="523136596">
    <w:abstractNumId w:val="3"/>
  </w:num>
  <w:num w:numId="26" w16cid:durableId="991762956">
    <w:abstractNumId w:val="21"/>
  </w:num>
  <w:num w:numId="27" w16cid:durableId="345210830">
    <w:abstractNumId w:val="25"/>
  </w:num>
  <w:num w:numId="28" w16cid:durableId="17048198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7E"/>
    <w:rsid w:val="00000279"/>
    <w:rsid w:val="00002698"/>
    <w:rsid w:val="00004B3A"/>
    <w:rsid w:val="000128AB"/>
    <w:rsid w:val="00012B4B"/>
    <w:rsid w:val="00014C02"/>
    <w:rsid w:val="00016B07"/>
    <w:rsid w:val="00024388"/>
    <w:rsid w:val="0002722B"/>
    <w:rsid w:val="0003033F"/>
    <w:rsid w:val="00030D75"/>
    <w:rsid w:val="00031019"/>
    <w:rsid w:val="00031156"/>
    <w:rsid w:val="00033FAE"/>
    <w:rsid w:val="0003463D"/>
    <w:rsid w:val="00034CAD"/>
    <w:rsid w:val="000400C9"/>
    <w:rsid w:val="00041979"/>
    <w:rsid w:val="00042436"/>
    <w:rsid w:val="00045608"/>
    <w:rsid w:val="00050E08"/>
    <w:rsid w:val="00051110"/>
    <w:rsid w:val="00051F1D"/>
    <w:rsid w:val="000521B4"/>
    <w:rsid w:val="0005249B"/>
    <w:rsid w:val="00054A89"/>
    <w:rsid w:val="000635CF"/>
    <w:rsid w:val="000668E0"/>
    <w:rsid w:val="000718A6"/>
    <w:rsid w:val="0007194C"/>
    <w:rsid w:val="00072FDA"/>
    <w:rsid w:val="00073E9F"/>
    <w:rsid w:val="000858CA"/>
    <w:rsid w:val="00086FCC"/>
    <w:rsid w:val="000877B1"/>
    <w:rsid w:val="000900A8"/>
    <w:rsid w:val="0009189F"/>
    <w:rsid w:val="00093062"/>
    <w:rsid w:val="000A208D"/>
    <w:rsid w:val="000B04C6"/>
    <w:rsid w:val="000B6017"/>
    <w:rsid w:val="000C0E69"/>
    <w:rsid w:val="000C2172"/>
    <w:rsid w:val="000C50E5"/>
    <w:rsid w:val="000C5EFC"/>
    <w:rsid w:val="000C605A"/>
    <w:rsid w:val="000C6A58"/>
    <w:rsid w:val="000E34AB"/>
    <w:rsid w:val="000E4669"/>
    <w:rsid w:val="000E782C"/>
    <w:rsid w:val="000F19B3"/>
    <w:rsid w:val="000F3E80"/>
    <w:rsid w:val="000F4EC5"/>
    <w:rsid w:val="000F7C4C"/>
    <w:rsid w:val="00100D75"/>
    <w:rsid w:val="00101A2C"/>
    <w:rsid w:val="0010227C"/>
    <w:rsid w:val="00112C4E"/>
    <w:rsid w:val="00115BAF"/>
    <w:rsid w:val="001170C4"/>
    <w:rsid w:val="001177DC"/>
    <w:rsid w:val="001226EF"/>
    <w:rsid w:val="00126715"/>
    <w:rsid w:val="001271E1"/>
    <w:rsid w:val="001320DC"/>
    <w:rsid w:val="00132856"/>
    <w:rsid w:val="001350F4"/>
    <w:rsid w:val="0013777A"/>
    <w:rsid w:val="001414F5"/>
    <w:rsid w:val="00145394"/>
    <w:rsid w:val="00153946"/>
    <w:rsid w:val="00154A1E"/>
    <w:rsid w:val="001559AB"/>
    <w:rsid w:val="00156D70"/>
    <w:rsid w:val="00156F70"/>
    <w:rsid w:val="00163590"/>
    <w:rsid w:val="00174477"/>
    <w:rsid w:val="001758B5"/>
    <w:rsid w:val="001829EA"/>
    <w:rsid w:val="00183000"/>
    <w:rsid w:val="00186935"/>
    <w:rsid w:val="0019329E"/>
    <w:rsid w:val="00193A93"/>
    <w:rsid w:val="00195E1E"/>
    <w:rsid w:val="00197B43"/>
    <w:rsid w:val="001A03EA"/>
    <w:rsid w:val="001A0906"/>
    <w:rsid w:val="001A0B88"/>
    <w:rsid w:val="001A224B"/>
    <w:rsid w:val="001A23F4"/>
    <w:rsid w:val="001A5705"/>
    <w:rsid w:val="001A5EB0"/>
    <w:rsid w:val="001A6340"/>
    <w:rsid w:val="001B0F73"/>
    <w:rsid w:val="001B16AF"/>
    <w:rsid w:val="001B3701"/>
    <w:rsid w:val="001B481A"/>
    <w:rsid w:val="001B4ED9"/>
    <w:rsid w:val="001B7284"/>
    <w:rsid w:val="001C015C"/>
    <w:rsid w:val="001C5929"/>
    <w:rsid w:val="001D6411"/>
    <w:rsid w:val="001E5EDD"/>
    <w:rsid w:val="001F2560"/>
    <w:rsid w:val="001F50B6"/>
    <w:rsid w:val="0020041F"/>
    <w:rsid w:val="00205717"/>
    <w:rsid w:val="00206A28"/>
    <w:rsid w:val="0021173E"/>
    <w:rsid w:val="00211D01"/>
    <w:rsid w:val="00213804"/>
    <w:rsid w:val="002160C4"/>
    <w:rsid w:val="002251D3"/>
    <w:rsid w:val="00227781"/>
    <w:rsid w:val="002318C8"/>
    <w:rsid w:val="00250E4B"/>
    <w:rsid w:val="00252AAA"/>
    <w:rsid w:val="00253DE3"/>
    <w:rsid w:val="00254C94"/>
    <w:rsid w:val="00257180"/>
    <w:rsid w:val="00260AF7"/>
    <w:rsid w:val="00262BC2"/>
    <w:rsid w:val="00265088"/>
    <w:rsid w:val="00275F4C"/>
    <w:rsid w:val="002770A5"/>
    <w:rsid w:val="002802C7"/>
    <w:rsid w:val="002821EB"/>
    <w:rsid w:val="00290594"/>
    <w:rsid w:val="00292480"/>
    <w:rsid w:val="0029279E"/>
    <w:rsid w:val="00297549"/>
    <w:rsid w:val="002A2A8A"/>
    <w:rsid w:val="002A5530"/>
    <w:rsid w:val="002A7483"/>
    <w:rsid w:val="002A7C97"/>
    <w:rsid w:val="002B09A8"/>
    <w:rsid w:val="002B150F"/>
    <w:rsid w:val="002B1FA5"/>
    <w:rsid w:val="002B3B9A"/>
    <w:rsid w:val="002C03D5"/>
    <w:rsid w:val="002C4A6A"/>
    <w:rsid w:val="002C73D3"/>
    <w:rsid w:val="002D4E43"/>
    <w:rsid w:val="002D5279"/>
    <w:rsid w:val="002E13C4"/>
    <w:rsid w:val="002E2A52"/>
    <w:rsid w:val="002E3AF8"/>
    <w:rsid w:val="002E53D8"/>
    <w:rsid w:val="0030403F"/>
    <w:rsid w:val="00311187"/>
    <w:rsid w:val="00313FA7"/>
    <w:rsid w:val="00316EE0"/>
    <w:rsid w:val="00317118"/>
    <w:rsid w:val="003177F9"/>
    <w:rsid w:val="00321393"/>
    <w:rsid w:val="00323E95"/>
    <w:rsid w:val="0032669F"/>
    <w:rsid w:val="0033205D"/>
    <w:rsid w:val="00332C93"/>
    <w:rsid w:val="003335E6"/>
    <w:rsid w:val="00334F50"/>
    <w:rsid w:val="0033508B"/>
    <w:rsid w:val="003358EF"/>
    <w:rsid w:val="0033717B"/>
    <w:rsid w:val="003410B7"/>
    <w:rsid w:val="00345206"/>
    <w:rsid w:val="00351007"/>
    <w:rsid w:val="00354E9D"/>
    <w:rsid w:val="0035795B"/>
    <w:rsid w:val="00361221"/>
    <w:rsid w:val="00366D13"/>
    <w:rsid w:val="0037047B"/>
    <w:rsid w:val="00372C44"/>
    <w:rsid w:val="00380AA4"/>
    <w:rsid w:val="00381728"/>
    <w:rsid w:val="00383DFE"/>
    <w:rsid w:val="00384F92"/>
    <w:rsid w:val="00387CB7"/>
    <w:rsid w:val="003923A1"/>
    <w:rsid w:val="00393813"/>
    <w:rsid w:val="003944A0"/>
    <w:rsid w:val="003A05FF"/>
    <w:rsid w:val="003A4E58"/>
    <w:rsid w:val="003B188A"/>
    <w:rsid w:val="003C3C4D"/>
    <w:rsid w:val="003C737E"/>
    <w:rsid w:val="003C73A4"/>
    <w:rsid w:val="003D2A96"/>
    <w:rsid w:val="003D3C52"/>
    <w:rsid w:val="003D4CC7"/>
    <w:rsid w:val="003D5BAF"/>
    <w:rsid w:val="003D7A6E"/>
    <w:rsid w:val="003F0AFE"/>
    <w:rsid w:val="003F32B5"/>
    <w:rsid w:val="0040001D"/>
    <w:rsid w:val="00400AA7"/>
    <w:rsid w:val="00400DC5"/>
    <w:rsid w:val="00403143"/>
    <w:rsid w:val="0040574A"/>
    <w:rsid w:val="004057F9"/>
    <w:rsid w:val="00406F7D"/>
    <w:rsid w:val="00407879"/>
    <w:rsid w:val="0041774F"/>
    <w:rsid w:val="0042186D"/>
    <w:rsid w:val="004242C0"/>
    <w:rsid w:val="00425C0A"/>
    <w:rsid w:val="004314C6"/>
    <w:rsid w:val="004320C2"/>
    <w:rsid w:val="00436347"/>
    <w:rsid w:val="00440D06"/>
    <w:rsid w:val="00442A06"/>
    <w:rsid w:val="0044399B"/>
    <w:rsid w:val="004540AB"/>
    <w:rsid w:val="004573B9"/>
    <w:rsid w:val="00457BC5"/>
    <w:rsid w:val="00461CA9"/>
    <w:rsid w:val="004659B1"/>
    <w:rsid w:val="00467E19"/>
    <w:rsid w:val="00472FD3"/>
    <w:rsid w:val="004750EB"/>
    <w:rsid w:val="00476D83"/>
    <w:rsid w:val="0048038E"/>
    <w:rsid w:val="0048063C"/>
    <w:rsid w:val="00481A8F"/>
    <w:rsid w:val="00492916"/>
    <w:rsid w:val="00493149"/>
    <w:rsid w:val="0049597B"/>
    <w:rsid w:val="00497314"/>
    <w:rsid w:val="004A34D6"/>
    <w:rsid w:val="004A7350"/>
    <w:rsid w:val="004A742E"/>
    <w:rsid w:val="004B0D21"/>
    <w:rsid w:val="004B4431"/>
    <w:rsid w:val="004B799D"/>
    <w:rsid w:val="004C3C8F"/>
    <w:rsid w:val="004C69C0"/>
    <w:rsid w:val="004D0113"/>
    <w:rsid w:val="004E0752"/>
    <w:rsid w:val="004E1663"/>
    <w:rsid w:val="004E296E"/>
    <w:rsid w:val="004F1315"/>
    <w:rsid w:val="004F2592"/>
    <w:rsid w:val="004F3834"/>
    <w:rsid w:val="00502042"/>
    <w:rsid w:val="005048DA"/>
    <w:rsid w:val="00505CD7"/>
    <w:rsid w:val="00506D82"/>
    <w:rsid w:val="0051244B"/>
    <w:rsid w:val="005151CC"/>
    <w:rsid w:val="00516242"/>
    <w:rsid w:val="0052758C"/>
    <w:rsid w:val="00533F04"/>
    <w:rsid w:val="00536517"/>
    <w:rsid w:val="00536990"/>
    <w:rsid w:val="005372D3"/>
    <w:rsid w:val="00540382"/>
    <w:rsid w:val="00542E61"/>
    <w:rsid w:val="00546A15"/>
    <w:rsid w:val="00553038"/>
    <w:rsid w:val="0055350A"/>
    <w:rsid w:val="0055403E"/>
    <w:rsid w:val="00554DD8"/>
    <w:rsid w:val="005552B6"/>
    <w:rsid w:val="00555371"/>
    <w:rsid w:val="005567ED"/>
    <w:rsid w:val="00565C72"/>
    <w:rsid w:val="00566047"/>
    <w:rsid w:val="0057015E"/>
    <w:rsid w:val="00570E77"/>
    <w:rsid w:val="00575A82"/>
    <w:rsid w:val="00581864"/>
    <w:rsid w:val="005835D7"/>
    <w:rsid w:val="00591FE1"/>
    <w:rsid w:val="005924B7"/>
    <w:rsid w:val="00592979"/>
    <w:rsid w:val="005A34E4"/>
    <w:rsid w:val="005A3EC9"/>
    <w:rsid w:val="005A47EA"/>
    <w:rsid w:val="005B362D"/>
    <w:rsid w:val="005B5F51"/>
    <w:rsid w:val="005C293A"/>
    <w:rsid w:val="005C2B48"/>
    <w:rsid w:val="005C2CED"/>
    <w:rsid w:val="005C3E20"/>
    <w:rsid w:val="005C52AE"/>
    <w:rsid w:val="005C54FC"/>
    <w:rsid w:val="005C750D"/>
    <w:rsid w:val="005D2C8E"/>
    <w:rsid w:val="005D4FE2"/>
    <w:rsid w:val="005D6755"/>
    <w:rsid w:val="005D6E4E"/>
    <w:rsid w:val="005D7226"/>
    <w:rsid w:val="005E1E37"/>
    <w:rsid w:val="005E277F"/>
    <w:rsid w:val="005E36E3"/>
    <w:rsid w:val="005E4ABE"/>
    <w:rsid w:val="005E58FA"/>
    <w:rsid w:val="005E5EDC"/>
    <w:rsid w:val="005E78EE"/>
    <w:rsid w:val="005F1074"/>
    <w:rsid w:val="005F3C02"/>
    <w:rsid w:val="005F4024"/>
    <w:rsid w:val="006043D8"/>
    <w:rsid w:val="00610176"/>
    <w:rsid w:val="00611D24"/>
    <w:rsid w:val="00612478"/>
    <w:rsid w:val="0061738F"/>
    <w:rsid w:val="00630599"/>
    <w:rsid w:val="00631BB2"/>
    <w:rsid w:val="00632DEE"/>
    <w:rsid w:val="00637B0B"/>
    <w:rsid w:val="00640321"/>
    <w:rsid w:val="006438E1"/>
    <w:rsid w:val="006525D6"/>
    <w:rsid w:val="00653B21"/>
    <w:rsid w:val="00654378"/>
    <w:rsid w:val="006544EF"/>
    <w:rsid w:val="0066277F"/>
    <w:rsid w:val="0066475C"/>
    <w:rsid w:val="00671F45"/>
    <w:rsid w:val="00680F3B"/>
    <w:rsid w:val="00680FF1"/>
    <w:rsid w:val="00684D1D"/>
    <w:rsid w:val="00690763"/>
    <w:rsid w:val="00692787"/>
    <w:rsid w:val="00692C1B"/>
    <w:rsid w:val="006933EF"/>
    <w:rsid w:val="006A09B2"/>
    <w:rsid w:val="006A25C4"/>
    <w:rsid w:val="006A3DC1"/>
    <w:rsid w:val="006A56D6"/>
    <w:rsid w:val="006A654F"/>
    <w:rsid w:val="006C0E12"/>
    <w:rsid w:val="006C376D"/>
    <w:rsid w:val="006C6DB1"/>
    <w:rsid w:val="006C73CD"/>
    <w:rsid w:val="006D13AF"/>
    <w:rsid w:val="006D1A16"/>
    <w:rsid w:val="006D22C1"/>
    <w:rsid w:val="006D29CA"/>
    <w:rsid w:val="006D4E1E"/>
    <w:rsid w:val="006D6535"/>
    <w:rsid w:val="006D784A"/>
    <w:rsid w:val="006E1C0C"/>
    <w:rsid w:val="006E40F9"/>
    <w:rsid w:val="006E44C7"/>
    <w:rsid w:val="006E5696"/>
    <w:rsid w:val="006F225F"/>
    <w:rsid w:val="006F5814"/>
    <w:rsid w:val="006F5ED8"/>
    <w:rsid w:val="0070253D"/>
    <w:rsid w:val="00717AE7"/>
    <w:rsid w:val="00721DFB"/>
    <w:rsid w:val="007320CA"/>
    <w:rsid w:val="00732960"/>
    <w:rsid w:val="00733B65"/>
    <w:rsid w:val="00741E25"/>
    <w:rsid w:val="00745986"/>
    <w:rsid w:val="00746238"/>
    <w:rsid w:val="0074684A"/>
    <w:rsid w:val="0075438B"/>
    <w:rsid w:val="00754513"/>
    <w:rsid w:val="00756FEE"/>
    <w:rsid w:val="0076077E"/>
    <w:rsid w:val="00765DFB"/>
    <w:rsid w:val="0077418E"/>
    <w:rsid w:val="00776491"/>
    <w:rsid w:val="007774CB"/>
    <w:rsid w:val="00780C0A"/>
    <w:rsid w:val="00781D75"/>
    <w:rsid w:val="00781F57"/>
    <w:rsid w:val="00782944"/>
    <w:rsid w:val="007845B4"/>
    <w:rsid w:val="00786AD7"/>
    <w:rsid w:val="00792F36"/>
    <w:rsid w:val="00793B0C"/>
    <w:rsid w:val="00794399"/>
    <w:rsid w:val="007966C3"/>
    <w:rsid w:val="007A2354"/>
    <w:rsid w:val="007A5240"/>
    <w:rsid w:val="007A72AA"/>
    <w:rsid w:val="007A7811"/>
    <w:rsid w:val="007B0015"/>
    <w:rsid w:val="007B2EB2"/>
    <w:rsid w:val="007C61C3"/>
    <w:rsid w:val="007C75F9"/>
    <w:rsid w:val="007D3F65"/>
    <w:rsid w:val="007D4A41"/>
    <w:rsid w:val="007D631F"/>
    <w:rsid w:val="007E493D"/>
    <w:rsid w:val="007E6E0A"/>
    <w:rsid w:val="007F3856"/>
    <w:rsid w:val="00800371"/>
    <w:rsid w:val="00800FE7"/>
    <w:rsid w:val="00803087"/>
    <w:rsid w:val="00804B17"/>
    <w:rsid w:val="0081247A"/>
    <w:rsid w:val="00812E52"/>
    <w:rsid w:val="00813D55"/>
    <w:rsid w:val="008202F1"/>
    <w:rsid w:val="00821777"/>
    <w:rsid w:val="008274E0"/>
    <w:rsid w:val="008318C7"/>
    <w:rsid w:val="008338DE"/>
    <w:rsid w:val="00841258"/>
    <w:rsid w:val="008421FA"/>
    <w:rsid w:val="00842E44"/>
    <w:rsid w:val="00843AB2"/>
    <w:rsid w:val="00845421"/>
    <w:rsid w:val="008502ED"/>
    <w:rsid w:val="00851340"/>
    <w:rsid w:val="00852987"/>
    <w:rsid w:val="00853E70"/>
    <w:rsid w:val="00854E50"/>
    <w:rsid w:val="008607B3"/>
    <w:rsid w:val="00861A24"/>
    <w:rsid w:val="00861DC6"/>
    <w:rsid w:val="00862049"/>
    <w:rsid w:val="00862AD1"/>
    <w:rsid w:val="00871C74"/>
    <w:rsid w:val="00872051"/>
    <w:rsid w:val="00881C89"/>
    <w:rsid w:val="008836E3"/>
    <w:rsid w:val="00884CEA"/>
    <w:rsid w:val="00894257"/>
    <w:rsid w:val="00896A00"/>
    <w:rsid w:val="008A08E6"/>
    <w:rsid w:val="008A2096"/>
    <w:rsid w:val="008A4A9F"/>
    <w:rsid w:val="008B0CAF"/>
    <w:rsid w:val="008B1AD8"/>
    <w:rsid w:val="008B6A70"/>
    <w:rsid w:val="008B7C65"/>
    <w:rsid w:val="008C22B4"/>
    <w:rsid w:val="008C51BF"/>
    <w:rsid w:val="008C5759"/>
    <w:rsid w:val="008C57D3"/>
    <w:rsid w:val="008D0758"/>
    <w:rsid w:val="008D2F6C"/>
    <w:rsid w:val="008D4A21"/>
    <w:rsid w:val="008D57E5"/>
    <w:rsid w:val="008D667F"/>
    <w:rsid w:val="008E180D"/>
    <w:rsid w:val="008E19AE"/>
    <w:rsid w:val="008E6885"/>
    <w:rsid w:val="008F1C7A"/>
    <w:rsid w:val="008F224F"/>
    <w:rsid w:val="0090160F"/>
    <w:rsid w:val="009050EA"/>
    <w:rsid w:val="00907CFB"/>
    <w:rsid w:val="009131B6"/>
    <w:rsid w:val="00913907"/>
    <w:rsid w:val="00914A12"/>
    <w:rsid w:val="00915689"/>
    <w:rsid w:val="0091701C"/>
    <w:rsid w:val="00917959"/>
    <w:rsid w:val="00925C02"/>
    <w:rsid w:val="009271F4"/>
    <w:rsid w:val="00930C1F"/>
    <w:rsid w:val="009321BF"/>
    <w:rsid w:val="0093381E"/>
    <w:rsid w:val="0094025B"/>
    <w:rsid w:val="00941B09"/>
    <w:rsid w:val="00946397"/>
    <w:rsid w:val="00950467"/>
    <w:rsid w:val="0095395E"/>
    <w:rsid w:val="00957520"/>
    <w:rsid w:val="009576AA"/>
    <w:rsid w:val="00963BEA"/>
    <w:rsid w:val="00964C42"/>
    <w:rsid w:val="00965A62"/>
    <w:rsid w:val="00966176"/>
    <w:rsid w:val="00971EC1"/>
    <w:rsid w:val="00974B64"/>
    <w:rsid w:val="009851B1"/>
    <w:rsid w:val="00987CB2"/>
    <w:rsid w:val="0099742E"/>
    <w:rsid w:val="009A23EE"/>
    <w:rsid w:val="009A2AF4"/>
    <w:rsid w:val="009A5E7F"/>
    <w:rsid w:val="009C3751"/>
    <w:rsid w:val="009C65B5"/>
    <w:rsid w:val="009C75AF"/>
    <w:rsid w:val="009C7D2A"/>
    <w:rsid w:val="009E2619"/>
    <w:rsid w:val="009E2D50"/>
    <w:rsid w:val="009E4587"/>
    <w:rsid w:val="009E5284"/>
    <w:rsid w:val="009E763D"/>
    <w:rsid w:val="009F2229"/>
    <w:rsid w:val="009F32F1"/>
    <w:rsid w:val="009F64AE"/>
    <w:rsid w:val="009F747B"/>
    <w:rsid w:val="00A00147"/>
    <w:rsid w:val="00A02902"/>
    <w:rsid w:val="00A0660E"/>
    <w:rsid w:val="00A13C45"/>
    <w:rsid w:val="00A1595C"/>
    <w:rsid w:val="00A16226"/>
    <w:rsid w:val="00A1681B"/>
    <w:rsid w:val="00A22B40"/>
    <w:rsid w:val="00A233D6"/>
    <w:rsid w:val="00A2489C"/>
    <w:rsid w:val="00A26BF8"/>
    <w:rsid w:val="00A32D81"/>
    <w:rsid w:val="00A36C52"/>
    <w:rsid w:val="00A417FE"/>
    <w:rsid w:val="00A41FA0"/>
    <w:rsid w:val="00A50236"/>
    <w:rsid w:val="00A5099A"/>
    <w:rsid w:val="00A540A3"/>
    <w:rsid w:val="00A56CE5"/>
    <w:rsid w:val="00A607F1"/>
    <w:rsid w:val="00A610F5"/>
    <w:rsid w:val="00A6262E"/>
    <w:rsid w:val="00A62CD7"/>
    <w:rsid w:val="00A70F6A"/>
    <w:rsid w:val="00A70F85"/>
    <w:rsid w:val="00A7190A"/>
    <w:rsid w:val="00A71AF1"/>
    <w:rsid w:val="00A72D3F"/>
    <w:rsid w:val="00A73FA0"/>
    <w:rsid w:val="00A758F9"/>
    <w:rsid w:val="00A86CD8"/>
    <w:rsid w:val="00A879FD"/>
    <w:rsid w:val="00A96944"/>
    <w:rsid w:val="00A97E57"/>
    <w:rsid w:val="00AA0350"/>
    <w:rsid w:val="00AB528E"/>
    <w:rsid w:val="00AB558A"/>
    <w:rsid w:val="00AC06C7"/>
    <w:rsid w:val="00AC48E1"/>
    <w:rsid w:val="00AC5E14"/>
    <w:rsid w:val="00AD06A1"/>
    <w:rsid w:val="00AD4B34"/>
    <w:rsid w:val="00AD6F9E"/>
    <w:rsid w:val="00AE2B0C"/>
    <w:rsid w:val="00AE4B9E"/>
    <w:rsid w:val="00AF2901"/>
    <w:rsid w:val="00AF3511"/>
    <w:rsid w:val="00AF5286"/>
    <w:rsid w:val="00AF668B"/>
    <w:rsid w:val="00B0008E"/>
    <w:rsid w:val="00B03067"/>
    <w:rsid w:val="00B03BE0"/>
    <w:rsid w:val="00B06461"/>
    <w:rsid w:val="00B0670B"/>
    <w:rsid w:val="00B10796"/>
    <w:rsid w:val="00B1188D"/>
    <w:rsid w:val="00B157BB"/>
    <w:rsid w:val="00B24429"/>
    <w:rsid w:val="00B3189D"/>
    <w:rsid w:val="00B3429D"/>
    <w:rsid w:val="00B35ED2"/>
    <w:rsid w:val="00B36814"/>
    <w:rsid w:val="00B36FF9"/>
    <w:rsid w:val="00B4319E"/>
    <w:rsid w:val="00B53DA4"/>
    <w:rsid w:val="00B55281"/>
    <w:rsid w:val="00B55F4C"/>
    <w:rsid w:val="00B56E6F"/>
    <w:rsid w:val="00B612A8"/>
    <w:rsid w:val="00B62CFA"/>
    <w:rsid w:val="00B653AC"/>
    <w:rsid w:val="00B65496"/>
    <w:rsid w:val="00B65863"/>
    <w:rsid w:val="00B735F8"/>
    <w:rsid w:val="00B76D7C"/>
    <w:rsid w:val="00B81393"/>
    <w:rsid w:val="00B9299F"/>
    <w:rsid w:val="00B9782D"/>
    <w:rsid w:val="00BA38FA"/>
    <w:rsid w:val="00BA4352"/>
    <w:rsid w:val="00BA7119"/>
    <w:rsid w:val="00BB0E5C"/>
    <w:rsid w:val="00BB321A"/>
    <w:rsid w:val="00BB345D"/>
    <w:rsid w:val="00BB3BEC"/>
    <w:rsid w:val="00BB65A5"/>
    <w:rsid w:val="00BC1D39"/>
    <w:rsid w:val="00BC2C81"/>
    <w:rsid w:val="00BC7389"/>
    <w:rsid w:val="00BD1FF1"/>
    <w:rsid w:val="00BD24A6"/>
    <w:rsid w:val="00BD664D"/>
    <w:rsid w:val="00BD7C23"/>
    <w:rsid w:val="00BE62E9"/>
    <w:rsid w:val="00BE6ED7"/>
    <w:rsid w:val="00C00032"/>
    <w:rsid w:val="00C00FFC"/>
    <w:rsid w:val="00C02254"/>
    <w:rsid w:val="00C03190"/>
    <w:rsid w:val="00C075B1"/>
    <w:rsid w:val="00C108C9"/>
    <w:rsid w:val="00C12E48"/>
    <w:rsid w:val="00C135E6"/>
    <w:rsid w:val="00C15E40"/>
    <w:rsid w:val="00C16E4E"/>
    <w:rsid w:val="00C17982"/>
    <w:rsid w:val="00C20092"/>
    <w:rsid w:val="00C21492"/>
    <w:rsid w:val="00C22876"/>
    <w:rsid w:val="00C26DF7"/>
    <w:rsid w:val="00C30022"/>
    <w:rsid w:val="00C3448C"/>
    <w:rsid w:val="00C348CB"/>
    <w:rsid w:val="00C4437B"/>
    <w:rsid w:val="00C51FCE"/>
    <w:rsid w:val="00C55702"/>
    <w:rsid w:val="00C561CE"/>
    <w:rsid w:val="00C56753"/>
    <w:rsid w:val="00C567FB"/>
    <w:rsid w:val="00C56BBD"/>
    <w:rsid w:val="00C60F25"/>
    <w:rsid w:val="00C61AD8"/>
    <w:rsid w:val="00C62899"/>
    <w:rsid w:val="00C6625B"/>
    <w:rsid w:val="00C77003"/>
    <w:rsid w:val="00C82D3D"/>
    <w:rsid w:val="00C831CF"/>
    <w:rsid w:val="00C9331B"/>
    <w:rsid w:val="00C94421"/>
    <w:rsid w:val="00C9452F"/>
    <w:rsid w:val="00C975E9"/>
    <w:rsid w:val="00CA070C"/>
    <w:rsid w:val="00CA412A"/>
    <w:rsid w:val="00CA57F3"/>
    <w:rsid w:val="00CB731A"/>
    <w:rsid w:val="00CC3D9C"/>
    <w:rsid w:val="00CC46AE"/>
    <w:rsid w:val="00CC47C9"/>
    <w:rsid w:val="00CC79B0"/>
    <w:rsid w:val="00CC7AE6"/>
    <w:rsid w:val="00CD3163"/>
    <w:rsid w:val="00CD3609"/>
    <w:rsid w:val="00CD5050"/>
    <w:rsid w:val="00CD569E"/>
    <w:rsid w:val="00CD578F"/>
    <w:rsid w:val="00CD5870"/>
    <w:rsid w:val="00CE5C6C"/>
    <w:rsid w:val="00CF1708"/>
    <w:rsid w:val="00CF22A6"/>
    <w:rsid w:val="00CF6451"/>
    <w:rsid w:val="00D050BC"/>
    <w:rsid w:val="00D06F29"/>
    <w:rsid w:val="00D07DDF"/>
    <w:rsid w:val="00D11234"/>
    <w:rsid w:val="00D11FFE"/>
    <w:rsid w:val="00D13D42"/>
    <w:rsid w:val="00D13D61"/>
    <w:rsid w:val="00D2183D"/>
    <w:rsid w:val="00D238DD"/>
    <w:rsid w:val="00D26F5B"/>
    <w:rsid w:val="00D279BD"/>
    <w:rsid w:val="00D370CA"/>
    <w:rsid w:val="00D42079"/>
    <w:rsid w:val="00D421F9"/>
    <w:rsid w:val="00D53223"/>
    <w:rsid w:val="00D53BF8"/>
    <w:rsid w:val="00D53C08"/>
    <w:rsid w:val="00D55170"/>
    <w:rsid w:val="00D56C99"/>
    <w:rsid w:val="00D65DD8"/>
    <w:rsid w:val="00D70C2D"/>
    <w:rsid w:val="00D71422"/>
    <w:rsid w:val="00D71C2C"/>
    <w:rsid w:val="00D72AA0"/>
    <w:rsid w:val="00D748CA"/>
    <w:rsid w:val="00D74F51"/>
    <w:rsid w:val="00D768C0"/>
    <w:rsid w:val="00D87F4B"/>
    <w:rsid w:val="00D925EA"/>
    <w:rsid w:val="00D9266C"/>
    <w:rsid w:val="00D929D0"/>
    <w:rsid w:val="00D95A64"/>
    <w:rsid w:val="00DA5CF2"/>
    <w:rsid w:val="00DA5EA3"/>
    <w:rsid w:val="00DB060B"/>
    <w:rsid w:val="00DB321E"/>
    <w:rsid w:val="00DB3457"/>
    <w:rsid w:val="00DB40B1"/>
    <w:rsid w:val="00DB505F"/>
    <w:rsid w:val="00DC1F49"/>
    <w:rsid w:val="00DC2E43"/>
    <w:rsid w:val="00DD59D9"/>
    <w:rsid w:val="00DE1A61"/>
    <w:rsid w:val="00DE316F"/>
    <w:rsid w:val="00DF5BEE"/>
    <w:rsid w:val="00DF66FF"/>
    <w:rsid w:val="00E024FB"/>
    <w:rsid w:val="00E0432E"/>
    <w:rsid w:val="00E04905"/>
    <w:rsid w:val="00E1201F"/>
    <w:rsid w:val="00E15AE7"/>
    <w:rsid w:val="00E21216"/>
    <w:rsid w:val="00E21807"/>
    <w:rsid w:val="00E24830"/>
    <w:rsid w:val="00E25D68"/>
    <w:rsid w:val="00E27C60"/>
    <w:rsid w:val="00E32CDE"/>
    <w:rsid w:val="00E42697"/>
    <w:rsid w:val="00E43C24"/>
    <w:rsid w:val="00E441E2"/>
    <w:rsid w:val="00E4450C"/>
    <w:rsid w:val="00E45CED"/>
    <w:rsid w:val="00E47CFB"/>
    <w:rsid w:val="00E52C2F"/>
    <w:rsid w:val="00E55AFA"/>
    <w:rsid w:val="00E56801"/>
    <w:rsid w:val="00E63E79"/>
    <w:rsid w:val="00E646F2"/>
    <w:rsid w:val="00E660C6"/>
    <w:rsid w:val="00E66966"/>
    <w:rsid w:val="00E66EA5"/>
    <w:rsid w:val="00E701BD"/>
    <w:rsid w:val="00E71A8C"/>
    <w:rsid w:val="00E721D4"/>
    <w:rsid w:val="00E804B6"/>
    <w:rsid w:val="00E84D1A"/>
    <w:rsid w:val="00E85A2A"/>
    <w:rsid w:val="00E861EC"/>
    <w:rsid w:val="00E900D2"/>
    <w:rsid w:val="00E904AB"/>
    <w:rsid w:val="00E94BC9"/>
    <w:rsid w:val="00E95864"/>
    <w:rsid w:val="00E97659"/>
    <w:rsid w:val="00EA1ACE"/>
    <w:rsid w:val="00EA5B62"/>
    <w:rsid w:val="00EB36B3"/>
    <w:rsid w:val="00EB68A6"/>
    <w:rsid w:val="00EC22F6"/>
    <w:rsid w:val="00ED0441"/>
    <w:rsid w:val="00ED258C"/>
    <w:rsid w:val="00ED6081"/>
    <w:rsid w:val="00EE0E5A"/>
    <w:rsid w:val="00EE40A7"/>
    <w:rsid w:val="00EE6D0B"/>
    <w:rsid w:val="00EF425D"/>
    <w:rsid w:val="00EF6BEE"/>
    <w:rsid w:val="00F01740"/>
    <w:rsid w:val="00F051B5"/>
    <w:rsid w:val="00F21541"/>
    <w:rsid w:val="00F233DD"/>
    <w:rsid w:val="00F23D99"/>
    <w:rsid w:val="00F2428D"/>
    <w:rsid w:val="00F2451C"/>
    <w:rsid w:val="00F269A0"/>
    <w:rsid w:val="00F32FD5"/>
    <w:rsid w:val="00F33310"/>
    <w:rsid w:val="00F36ECB"/>
    <w:rsid w:val="00F36F16"/>
    <w:rsid w:val="00F43BF7"/>
    <w:rsid w:val="00F44117"/>
    <w:rsid w:val="00F51E08"/>
    <w:rsid w:val="00F576A0"/>
    <w:rsid w:val="00F6127E"/>
    <w:rsid w:val="00F62336"/>
    <w:rsid w:val="00F7054C"/>
    <w:rsid w:val="00F724FC"/>
    <w:rsid w:val="00F72E46"/>
    <w:rsid w:val="00F72EAA"/>
    <w:rsid w:val="00F93042"/>
    <w:rsid w:val="00F94DA7"/>
    <w:rsid w:val="00FA0216"/>
    <w:rsid w:val="00FA1C86"/>
    <w:rsid w:val="00FA4A7E"/>
    <w:rsid w:val="00FA5A9B"/>
    <w:rsid w:val="00FA5E5B"/>
    <w:rsid w:val="00FB09AA"/>
    <w:rsid w:val="00FB12B1"/>
    <w:rsid w:val="00FB2579"/>
    <w:rsid w:val="00FB51FC"/>
    <w:rsid w:val="00FB72F0"/>
    <w:rsid w:val="00FB78DF"/>
    <w:rsid w:val="00FC03DD"/>
    <w:rsid w:val="00FC2042"/>
    <w:rsid w:val="00FC4D8C"/>
    <w:rsid w:val="00FC5C54"/>
    <w:rsid w:val="00FC78A3"/>
    <w:rsid w:val="00FC798E"/>
    <w:rsid w:val="00FD660A"/>
    <w:rsid w:val="00FE657B"/>
    <w:rsid w:val="00FE6EBF"/>
    <w:rsid w:val="00FF48CF"/>
    <w:rsid w:val="0315F955"/>
    <w:rsid w:val="171B2264"/>
    <w:rsid w:val="1F168939"/>
    <w:rsid w:val="22449A49"/>
    <w:rsid w:val="3B064E9F"/>
    <w:rsid w:val="3E1C433C"/>
    <w:rsid w:val="454B18B9"/>
    <w:rsid w:val="792725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BE4C"/>
  <w15:chartTrackingRefBased/>
  <w15:docId w15:val="{0206B038-FC8E-4A9A-B5B3-E382DE7F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25D6"/>
    <w:pPr>
      <w:spacing w:before="120" w:after="0" w:line="320" w:lineRule="exact"/>
      <w:ind w:firstLine="397"/>
      <w:jc w:val="both"/>
    </w:pPr>
    <w:rPr>
      <w:rFonts w:ascii="Times New Roman" w:hAnsi="Times New Roman"/>
      <w:sz w:val="26"/>
    </w:rPr>
  </w:style>
  <w:style w:type="paragraph" w:styleId="Titolo1">
    <w:name w:val="heading 1"/>
    <w:basedOn w:val="Normale"/>
    <w:next w:val="Normale"/>
    <w:link w:val="Titolo1Carattere"/>
    <w:autoRedefine/>
    <w:uiPriority w:val="9"/>
    <w:qFormat/>
    <w:rsid w:val="00E441E2"/>
    <w:pPr>
      <w:keepNext/>
      <w:keepLines/>
      <w:spacing w:before="240" w:after="240" w:line="380" w:lineRule="exact"/>
      <w:ind w:firstLine="0"/>
      <w:jc w:val="center"/>
      <w:outlineLvl w:val="0"/>
    </w:pPr>
    <w:rPr>
      <w:rFonts w:eastAsiaTheme="majorEastAsia" w:cstheme="majorBidi"/>
      <w:b/>
      <w:smallCaps/>
      <w:color w:val="153D63" w:themeColor="text2" w:themeTint="E6"/>
      <w:szCs w:val="40"/>
    </w:rPr>
  </w:style>
  <w:style w:type="paragraph" w:styleId="Titolo2">
    <w:name w:val="heading 2"/>
    <w:basedOn w:val="Normale"/>
    <w:next w:val="Normale"/>
    <w:link w:val="Titolo2Carattere"/>
    <w:uiPriority w:val="9"/>
    <w:unhideWhenUsed/>
    <w:qFormat/>
    <w:rsid w:val="00030D75"/>
    <w:pPr>
      <w:keepNext/>
      <w:keepLines/>
      <w:spacing w:before="160" w:after="80" w:line="380" w:lineRule="exact"/>
      <w:outlineLvl w:val="1"/>
    </w:pPr>
    <w:rPr>
      <w:rFonts w:eastAsiaTheme="majorEastAsia" w:cstheme="majorBidi"/>
      <w:b/>
      <w:smallCaps/>
      <w:color w:val="153D63" w:themeColor="text2" w:themeTint="E6"/>
      <w:sz w:val="28"/>
      <w:szCs w:val="32"/>
    </w:rPr>
  </w:style>
  <w:style w:type="paragraph" w:styleId="Titolo3">
    <w:name w:val="heading 3"/>
    <w:basedOn w:val="Normale"/>
    <w:next w:val="Normale"/>
    <w:link w:val="Titolo3Carattere"/>
    <w:uiPriority w:val="9"/>
    <w:unhideWhenUsed/>
    <w:qFormat/>
    <w:rsid w:val="00C62899"/>
    <w:pPr>
      <w:keepNext/>
      <w:keepLines/>
      <w:spacing w:before="160" w:after="80" w:line="380" w:lineRule="exact"/>
      <w:outlineLvl w:val="2"/>
    </w:pPr>
    <w:rPr>
      <w:rFonts w:eastAsiaTheme="majorEastAsia" w:cstheme="majorBidi"/>
      <w:b/>
      <w:i/>
      <w:color w:val="215E99" w:themeColor="text2" w:themeTint="BF"/>
      <w:sz w:val="28"/>
      <w:szCs w:val="28"/>
    </w:rPr>
  </w:style>
  <w:style w:type="paragraph" w:styleId="Titolo4">
    <w:name w:val="heading 4"/>
    <w:basedOn w:val="Normale"/>
    <w:next w:val="Normale"/>
    <w:link w:val="Titolo4Carattere"/>
    <w:uiPriority w:val="9"/>
    <w:semiHidden/>
    <w:unhideWhenUsed/>
    <w:qFormat/>
    <w:rsid w:val="007607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6077E"/>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76077E"/>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76077E"/>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76077E"/>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76077E"/>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441E2"/>
    <w:rPr>
      <w:rFonts w:ascii="Times New Roman" w:eastAsiaTheme="majorEastAsia" w:hAnsi="Times New Roman" w:cstheme="majorBidi"/>
      <w:b/>
      <w:smallCaps/>
      <w:color w:val="153D63" w:themeColor="text2" w:themeTint="E6"/>
      <w:sz w:val="26"/>
      <w:szCs w:val="40"/>
    </w:rPr>
  </w:style>
  <w:style w:type="character" w:customStyle="1" w:styleId="Titolo2Carattere">
    <w:name w:val="Titolo 2 Carattere"/>
    <w:basedOn w:val="Carpredefinitoparagrafo"/>
    <w:link w:val="Titolo2"/>
    <w:uiPriority w:val="9"/>
    <w:rsid w:val="00030D75"/>
    <w:rPr>
      <w:rFonts w:ascii="Times New Roman" w:eastAsiaTheme="majorEastAsia" w:hAnsi="Times New Roman" w:cstheme="majorBidi"/>
      <w:b/>
      <w:smallCaps/>
      <w:color w:val="153D63" w:themeColor="text2" w:themeTint="E6"/>
      <w:sz w:val="28"/>
      <w:szCs w:val="32"/>
    </w:rPr>
  </w:style>
  <w:style w:type="paragraph" w:styleId="Testonotaapidipagina">
    <w:name w:val="footnote text"/>
    <w:basedOn w:val="Normale"/>
    <w:link w:val="TestonotaapidipaginaCarattere"/>
    <w:uiPriority w:val="99"/>
    <w:unhideWhenUsed/>
    <w:qFormat/>
    <w:rsid w:val="005B362D"/>
    <w:pPr>
      <w:spacing w:line="240" w:lineRule="auto"/>
      <w:ind w:firstLine="284"/>
    </w:pPr>
    <w:rPr>
      <w:sz w:val="22"/>
      <w:szCs w:val="20"/>
    </w:rPr>
  </w:style>
  <w:style w:type="character" w:customStyle="1" w:styleId="TestonotaapidipaginaCarattere">
    <w:name w:val="Testo nota a piè di pagina Carattere"/>
    <w:basedOn w:val="Carpredefinitoparagrafo"/>
    <w:link w:val="Testonotaapidipagina"/>
    <w:uiPriority w:val="99"/>
    <w:rsid w:val="005B362D"/>
    <w:rPr>
      <w:rFonts w:ascii="Times New Roman" w:hAnsi="Times New Roman"/>
      <w:sz w:val="22"/>
      <w:szCs w:val="20"/>
    </w:rPr>
  </w:style>
  <w:style w:type="character" w:customStyle="1" w:styleId="Titolo3Carattere">
    <w:name w:val="Titolo 3 Carattere"/>
    <w:basedOn w:val="Carpredefinitoparagrafo"/>
    <w:link w:val="Titolo3"/>
    <w:uiPriority w:val="9"/>
    <w:rsid w:val="00C62899"/>
    <w:rPr>
      <w:rFonts w:ascii="Times New Roman" w:eastAsiaTheme="majorEastAsia" w:hAnsi="Times New Roman" w:cstheme="majorBidi"/>
      <w:b/>
      <w:i/>
      <w:color w:val="215E99" w:themeColor="text2" w:themeTint="BF"/>
      <w:sz w:val="28"/>
      <w:szCs w:val="28"/>
    </w:rPr>
  </w:style>
  <w:style w:type="character" w:customStyle="1" w:styleId="Titolo4Carattere">
    <w:name w:val="Titolo 4 Carattere"/>
    <w:basedOn w:val="Carpredefinitoparagrafo"/>
    <w:link w:val="Titolo4"/>
    <w:uiPriority w:val="9"/>
    <w:semiHidden/>
    <w:rsid w:val="0076077E"/>
    <w:rPr>
      <w:rFonts w:eastAsiaTheme="majorEastAsia" w:cstheme="majorBidi"/>
      <w:i/>
      <w:iCs/>
      <w:color w:val="0F4761" w:themeColor="accent1" w:themeShade="BF"/>
      <w:sz w:val="26"/>
    </w:rPr>
  </w:style>
  <w:style w:type="character" w:customStyle="1" w:styleId="Titolo5Carattere">
    <w:name w:val="Titolo 5 Carattere"/>
    <w:basedOn w:val="Carpredefinitoparagrafo"/>
    <w:link w:val="Titolo5"/>
    <w:uiPriority w:val="9"/>
    <w:semiHidden/>
    <w:rsid w:val="0076077E"/>
    <w:rPr>
      <w:rFonts w:eastAsiaTheme="majorEastAsia" w:cstheme="majorBidi"/>
      <w:color w:val="0F4761" w:themeColor="accent1" w:themeShade="BF"/>
      <w:sz w:val="26"/>
    </w:rPr>
  </w:style>
  <w:style w:type="character" w:customStyle="1" w:styleId="Titolo6Carattere">
    <w:name w:val="Titolo 6 Carattere"/>
    <w:basedOn w:val="Carpredefinitoparagrafo"/>
    <w:link w:val="Titolo6"/>
    <w:uiPriority w:val="9"/>
    <w:semiHidden/>
    <w:rsid w:val="0076077E"/>
    <w:rPr>
      <w:rFonts w:eastAsiaTheme="majorEastAsia" w:cstheme="majorBidi"/>
      <w:i/>
      <w:iCs/>
      <w:color w:val="595959" w:themeColor="text1" w:themeTint="A6"/>
      <w:sz w:val="26"/>
    </w:rPr>
  </w:style>
  <w:style w:type="character" w:customStyle="1" w:styleId="Titolo7Carattere">
    <w:name w:val="Titolo 7 Carattere"/>
    <w:basedOn w:val="Carpredefinitoparagrafo"/>
    <w:link w:val="Titolo7"/>
    <w:uiPriority w:val="9"/>
    <w:semiHidden/>
    <w:rsid w:val="0076077E"/>
    <w:rPr>
      <w:rFonts w:eastAsiaTheme="majorEastAsia" w:cstheme="majorBidi"/>
      <w:color w:val="595959" w:themeColor="text1" w:themeTint="A6"/>
      <w:sz w:val="26"/>
    </w:rPr>
  </w:style>
  <w:style w:type="character" w:customStyle="1" w:styleId="Titolo8Carattere">
    <w:name w:val="Titolo 8 Carattere"/>
    <w:basedOn w:val="Carpredefinitoparagrafo"/>
    <w:link w:val="Titolo8"/>
    <w:uiPriority w:val="9"/>
    <w:semiHidden/>
    <w:rsid w:val="0076077E"/>
    <w:rPr>
      <w:rFonts w:eastAsiaTheme="majorEastAsia" w:cstheme="majorBidi"/>
      <w:i/>
      <w:iCs/>
      <w:color w:val="272727" w:themeColor="text1" w:themeTint="D8"/>
      <w:sz w:val="26"/>
    </w:rPr>
  </w:style>
  <w:style w:type="character" w:customStyle="1" w:styleId="Titolo9Carattere">
    <w:name w:val="Titolo 9 Carattere"/>
    <w:basedOn w:val="Carpredefinitoparagrafo"/>
    <w:link w:val="Titolo9"/>
    <w:uiPriority w:val="9"/>
    <w:semiHidden/>
    <w:rsid w:val="0076077E"/>
    <w:rPr>
      <w:rFonts w:eastAsiaTheme="majorEastAsia" w:cstheme="majorBidi"/>
      <w:color w:val="272727" w:themeColor="text1" w:themeTint="D8"/>
      <w:sz w:val="26"/>
    </w:rPr>
  </w:style>
  <w:style w:type="paragraph" w:styleId="Titolo">
    <w:name w:val="Title"/>
    <w:basedOn w:val="Normale"/>
    <w:next w:val="Normale"/>
    <w:link w:val="TitoloCarattere"/>
    <w:uiPriority w:val="10"/>
    <w:qFormat/>
    <w:rsid w:val="00760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6077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6077E"/>
    <w:pPr>
      <w:numPr>
        <w:ilvl w:val="1"/>
      </w:numPr>
      <w:spacing w:after="160"/>
      <w:ind w:firstLine="397"/>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6077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6077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6077E"/>
    <w:rPr>
      <w:rFonts w:ascii="Times New Roman" w:hAnsi="Times New Roman"/>
      <w:i/>
      <w:iCs/>
      <w:color w:val="404040" w:themeColor="text1" w:themeTint="BF"/>
      <w:sz w:val="26"/>
    </w:rPr>
  </w:style>
  <w:style w:type="paragraph" w:styleId="Paragrafoelenco">
    <w:name w:val="List Paragraph"/>
    <w:basedOn w:val="Normale"/>
    <w:uiPriority w:val="34"/>
    <w:qFormat/>
    <w:rsid w:val="0076077E"/>
    <w:pPr>
      <w:ind w:left="720"/>
      <w:contextualSpacing/>
    </w:pPr>
  </w:style>
  <w:style w:type="character" w:styleId="Enfasiintensa">
    <w:name w:val="Intense Emphasis"/>
    <w:basedOn w:val="Carpredefinitoparagrafo"/>
    <w:uiPriority w:val="21"/>
    <w:qFormat/>
    <w:rsid w:val="0076077E"/>
    <w:rPr>
      <w:i/>
      <w:iCs/>
      <w:color w:val="0F4761" w:themeColor="accent1" w:themeShade="BF"/>
    </w:rPr>
  </w:style>
  <w:style w:type="paragraph" w:styleId="Citazioneintensa">
    <w:name w:val="Intense Quote"/>
    <w:basedOn w:val="Normale"/>
    <w:next w:val="Normale"/>
    <w:link w:val="CitazioneintensaCarattere"/>
    <w:uiPriority w:val="30"/>
    <w:qFormat/>
    <w:rsid w:val="00760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6077E"/>
    <w:rPr>
      <w:rFonts w:ascii="Times New Roman" w:hAnsi="Times New Roman"/>
      <w:i/>
      <w:iCs/>
      <w:color w:val="0F4761" w:themeColor="accent1" w:themeShade="BF"/>
      <w:sz w:val="26"/>
    </w:rPr>
  </w:style>
  <w:style w:type="character" w:styleId="Riferimentointenso">
    <w:name w:val="Intense Reference"/>
    <w:basedOn w:val="Carpredefinitoparagrafo"/>
    <w:uiPriority w:val="32"/>
    <w:qFormat/>
    <w:rsid w:val="0076077E"/>
    <w:rPr>
      <w:b/>
      <w:bCs/>
      <w:smallCaps/>
      <w:color w:val="0F4761" w:themeColor="accent1" w:themeShade="BF"/>
      <w:spacing w:val="5"/>
    </w:rPr>
  </w:style>
  <w:style w:type="character" w:styleId="Collegamentoipertestuale">
    <w:name w:val="Hyperlink"/>
    <w:basedOn w:val="Carpredefinitoparagrafo"/>
    <w:uiPriority w:val="99"/>
    <w:unhideWhenUsed/>
    <w:rsid w:val="005C54FC"/>
    <w:rPr>
      <w:color w:val="467886" w:themeColor="hyperlink"/>
      <w:u w:val="single"/>
    </w:rPr>
  </w:style>
  <w:style w:type="character" w:styleId="Menzionenonrisolta">
    <w:name w:val="Unresolved Mention"/>
    <w:basedOn w:val="Carpredefinitoparagrafo"/>
    <w:uiPriority w:val="99"/>
    <w:semiHidden/>
    <w:unhideWhenUsed/>
    <w:rsid w:val="005C54FC"/>
    <w:rPr>
      <w:color w:val="605E5C"/>
      <w:shd w:val="clear" w:color="auto" w:fill="E1DFDD"/>
    </w:rPr>
  </w:style>
  <w:style w:type="paragraph" w:styleId="Intestazione">
    <w:name w:val="header"/>
    <w:basedOn w:val="Normale"/>
    <w:link w:val="IntestazioneCarattere"/>
    <w:uiPriority w:val="99"/>
    <w:unhideWhenUsed/>
    <w:rsid w:val="00AD06A1"/>
    <w:pPr>
      <w:tabs>
        <w:tab w:val="center" w:pos="4819"/>
        <w:tab w:val="right" w:pos="9638"/>
      </w:tabs>
      <w:spacing w:before="0" w:line="240" w:lineRule="auto"/>
    </w:pPr>
  </w:style>
  <w:style w:type="character" w:customStyle="1" w:styleId="IntestazioneCarattere">
    <w:name w:val="Intestazione Carattere"/>
    <w:basedOn w:val="Carpredefinitoparagrafo"/>
    <w:link w:val="Intestazione"/>
    <w:uiPriority w:val="99"/>
    <w:rsid w:val="00AD06A1"/>
    <w:rPr>
      <w:rFonts w:ascii="Times New Roman" w:hAnsi="Times New Roman"/>
      <w:sz w:val="26"/>
    </w:rPr>
  </w:style>
  <w:style w:type="paragraph" w:styleId="Pidipagina">
    <w:name w:val="footer"/>
    <w:basedOn w:val="Normale"/>
    <w:link w:val="PidipaginaCarattere"/>
    <w:uiPriority w:val="99"/>
    <w:unhideWhenUsed/>
    <w:rsid w:val="00AD06A1"/>
    <w:pPr>
      <w:tabs>
        <w:tab w:val="center" w:pos="4819"/>
        <w:tab w:val="right" w:pos="9638"/>
      </w:tabs>
      <w:spacing w:before="0" w:line="240" w:lineRule="auto"/>
    </w:pPr>
  </w:style>
  <w:style w:type="character" w:customStyle="1" w:styleId="PidipaginaCarattere">
    <w:name w:val="Piè di pagina Carattere"/>
    <w:basedOn w:val="Carpredefinitoparagrafo"/>
    <w:link w:val="Pidipagina"/>
    <w:uiPriority w:val="99"/>
    <w:rsid w:val="00AD06A1"/>
    <w:rPr>
      <w:rFonts w:ascii="Times New Roman" w:hAnsi="Times New Roman"/>
      <w:sz w:val="26"/>
    </w:rPr>
  </w:style>
  <w:style w:type="character" w:styleId="Rimandonotaapidipagina">
    <w:name w:val="footnote reference"/>
    <w:basedOn w:val="Carpredefinitoparagrafo"/>
    <w:uiPriority w:val="99"/>
    <w:semiHidden/>
    <w:unhideWhenUsed/>
    <w:rsid w:val="00CC47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7" ma:contentTypeDescription="Creare un nuovo documento." ma:contentTypeScope="" ma:versionID="acda7a60ff1dded709bee4d3de3fc983">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4e13a071f6b50d8650de27e64b340e4a"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SearchProperties" minOccurs="0"/>
                <xsd:element ref="ns3:_Flow_SignoffStatus" minOccurs="0"/>
                <xsd:element ref="ns3:Approve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71c3f3f4-8545-4ecb-a037-b48345d24d3b}"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tato consenso" ma:internalName="Stato_x0020_consenso">
      <xsd:simpleType>
        <xsd:restriction base="dms:Text">
          <xsd:maxLength value="255"/>
        </xsd:restriction>
      </xsd:simpleType>
    </xsd:element>
    <xsd:element name="Approver" ma:index="23" nillable="true" ma:displayName="Approver" ma:format="Dropdown" ma:internalName="Approver">
      <xsd:simpleType>
        <xsd:restriction base="dms:Text">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er xmlns="b8e9ecd3-49dc-4355-a3de-944263e3bf65" xsi:nil="true"/>
    <_Flow_SignoffStatus xmlns="b8e9ecd3-49dc-4355-a3de-944263e3bf65" xsi:nil="true"/>
    <lcf76f155ced4ddcb4097134ff3c332f xmlns="b8e9ecd3-49dc-4355-a3de-944263e3bf65">
      <Terms xmlns="http://schemas.microsoft.com/office/infopath/2007/PartnerControls"/>
    </lcf76f155ced4ddcb4097134ff3c332f>
    <TaxCatchAll xmlns="3b0d13af-778a-4999-a53a-9a4892815d2e" xsi:nil="true"/>
  </documentManagement>
</p:properties>
</file>

<file path=customXml/itemProps1.xml><?xml version="1.0" encoding="utf-8"?>
<ds:datastoreItem xmlns:ds="http://schemas.openxmlformats.org/officeDocument/2006/customXml" ds:itemID="{DD977C66-60A5-4B1E-8108-34A9B5A28561}">
  <ds:schemaRefs>
    <ds:schemaRef ds:uri="http://schemas.microsoft.com/sharepoint/v3/contenttype/forms"/>
  </ds:schemaRefs>
</ds:datastoreItem>
</file>

<file path=customXml/itemProps2.xml><?xml version="1.0" encoding="utf-8"?>
<ds:datastoreItem xmlns:ds="http://schemas.openxmlformats.org/officeDocument/2006/customXml" ds:itemID="{7EB01912-3462-4417-9E2C-56266A585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0DF284-91B1-4933-96FA-0116EAB45C7F}">
  <ds:schemaRefs>
    <ds:schemaRef ds:uri="3b0d13af-778a-4999-a53a-9a4892815d2e"/>
    <ds:schemaRef ds:uri="http://schemas.microsoft.com/office/2006/documentManagement/types"/>
    <ds:schemaRef ds:uri="b8e9ecd3-49dc-4355-a3de-944263e3bf65"/>
    <ds:schemaRef ds:uri="http://schemas.openxmlformats.org/package/2006/metadata/core-properties"/>
    <ds:schemaRef ds:uri="http://purl.org/dc/elements/1.1/"/>
    <ds:schemaRef ds:uri="http://schemas.microsoft.com/office/infopath/2007/PartnerControls"/>
    <ds:schemaRef ds:uri="http://purl.org/dc/terms/"/>
    <ds:schemaRef ds:uri="http://www.w3.org/XML/1998/namespac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8852</Words>
  <Characters>50459</Characters>
  <Application>Microsoft Office Word</Application>
  <DocSecurity>0</DocSecurity>
  <Lines>420</Lines>
  <Paragraphs>118</Paragraphs>
  <ScaleCrop>false</ScaleCrop>
  <Company/>
  <LinksUpToDate>false</LinksUpToDate>
  <CharactersWithSpaces>59193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Guarducci</dc:creator>
  <cp:keywords/>
  <dc:description/>
  <cp:lastModifiedBy>Elisa Guarducci</cp:lastModifiedBy>
  <cp:revision>732</cp:revision>
  <dcterms:created xsi:type="dcterms:W3CDTF">2025-12-02T09:58:00Z</dcterms:created>
  <dcterms:modified xsi:type="dcterms:W3CDTF">2026-02-17T11:28:00Z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0x010100E29FEADFC340DA40B2139D4BBB1A48D7</vt:lpwstr>
  </property>
  <property fmtid="{D5CDD505-2E9C-101B-9397-08002B2CF9AE}" pid="3" name="MSIP_Label_5097a60d-5525-435b-8989-8eb48ac0c8cd_Enabled">
    <vt:lpwstr>true</vt:lpwstr>
  </property>
  <property fmtid="{D5CDD505-2E9C-101B-9397-08002B2CF9AE}" pid="4" name="MSIP_Label_5097a60d-5525-435b-8989-8eb48ac0c8cd_SetDate">
    <vt:lpwstr>2025-12-02T10:24:59Z</vt:lpwstr>
  </property>
  <property fmtid="{D5CDD505-2E9C-101B-9397-08002B2CF9AE}" pid="5" name="MSIP_Label_5097a60d-5525-435b-8989-8eb48ac0c8cd_Method">
    <vt:lpwstr>Standard</vt:lpwstr>
  </property>
  <property fmtid="{D5CDD505-2E9C-101B-9397-08002B2CF9AE}" pid="6" name="MSIP_Label_5097a60d-5525-435b-8989-8eb48ac0c8cd_Name">
    <vt:lpwstr>defa4170-0d19-0005-0004-bc88714345d2</vt:lpwstr>
  </property>
  <property fmtid="{D5CDD505-2E9C-101B-9397-08002B2CF9AE}" pid="7" name="MSIP_Label_5097a60d-5525-435b-8989-8eb48ac0c8cd_SiteId">
    <vt:lpwstr>3e90938b-8b27-4762-b4e8-006a8127a119</vt:lpwstr>
  </property>
  <property fmtid="{D5CDD505-2E9C-101B-9397-08002B2CF9AE}" pid="8" name="MSIP_Label_5097a60d-5525-435b-8989-8eb48ac0c8cd_ActionId">
    <vt:lpwstr>c3d7f07d-514e-4f93-b9d7-47c83e584350</vt:lpwstr>
  </property>
  <property fmtid="{D5CDD505-2E9C-101B-9397-08002B2CF9AE}" pid="9" name="MSIP_Label_5097a60d-5525-435b-8989-8eb48ac0c8cd_ContentBits">
    <vt:lpwstr>0</vt:lpwstr>
  </property>
  <property fmtid="{D5CDD505-2E9C-101B-9397-08002B2CF9AE}" pid="10" name="MSIP_Label_5097a60d-5525-435b-8989-8eb48ac0c8cd_Tag">
    <vt:lpwstr>10, 3, 0, 1</vt:lpwstr>
  </property>
  <property fmtid="{D5CDD505-2E9C-101B-9397-08002B2CF9AE}" pid="11" name="MediaServiceImageTags">
    <vt:lpwstr/>
  </property>
</Properties>
</file>